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D297A" w14:textId="79B487D0" w:rsidR="00B346EB" w:rsidRDefault="00B346EB" w:rsidP="00B346EB">
      <w:pPr>
        <w:tabs>
          <w:tab w:val="right" w:pos="9900"/>
        </w:tabs>
        <w:spacing w:after="0"/>
        <w:rPr>
          <w:rFonts w:ascii="Arial" w:hAnsi="Arial" w:cs="Arial"/>
          <w:b/>
          <w:bCs/>
          <w:lang w:val="en-US"/>
        </w:rPr>
      </w:pPr>
      <w:r>
        <w:rPr>
          <w:rFonts w:ascii="Arial" w:hAnsi="Arial" w:cs="Arial"/>
          <w:b/>
          <w:bCs/>
        </w:rPr>
        <w:t>3GPP TSG RAN WG</w:t>
      </w:r>
      <w:r w:rsidR="005A2161">
        <w:rPr>
          <w:rFonts w:ascii="Arial" w:hAnsi="Arial" w:cs="Arial"/>
          <w:b/>
          <w:bCs/>
        </w:rPr>
        <w:t>2</w:t>
      </w:r>
      <w:r>
        <w:rPr>
          <w:rFonts w:ascii="Arial" w:hAnsi="Arial" w:cs="Arial"/>
          <w:b/>
          <w:bCs/>
        </w:rPr>
        <w:t xml:space="preserve"> Meeting #</w:t>
      </w:r>
      <w:r w:rsidR="005A2161">
        <w:rPr>
          <w:rFonts w:ascii="Arial" w:hAnsi="Arial" w:cs="Arial"/>
          <w:b/>
          <w:bCs/>
        </w:rPr>
        <w:t>10</w:t>
      </w:r>
      <w:r w:rsidR="00A87064">
        <w:rPr>
          <w:rFonts w:ascii="Arial" w:hAnsi="Arial" w:cs="Arial"/>
          <w:b/>
          <w:bCs/>
        </w:rPr>
        <w:t>6</w:t>
      </w:r>
      <w:r>
        <w:rPr>
          <w:rFonts w:ascii="Arial" w:hAnsi="Arial" w:cs="Arial"/>
          <w:b/>
          <w:bCs/>
        </w:rPr>
        <w:tab/>
        <w:t xml:space="preserve">                                                                          R</w:t>
      </w:r>
      <w:r w:rsidR="005A2161">
        <w:rPr>
          <w:rFonts w:ascii="Arial" w:hAnsi="Arial" w:cs="Arial"/>
          <w:b/>
          <w:bCs/>
        </w:rPr>
        <w:t>2</w:t>
      </w:r>
      <w:r>
        <w:rPr>
          <w:rFonts w:ascii="Arial" w:hAnsi="Arial" w:cs="Arial"/>
          <w:b/>
          <w:bCs/>
        </w:rPr>
        <w:t>-190</w:t>
      </w:r>
      <w:r w:rsidR="00D7373E">
        <w:rPr>
          <w:rFonts w:ascii="Arial" w:hAnsi="Arial" w:cs="Arial"/>
          <w:b/>
          <w:bCs/>
        </w:rPr>
        <w:t>6414</w:t>
      </w:r>
      <w:bookmarkStart w:id="0" w:name="_GoBack"/>
      <w:bookmarkEnd w:id="0"/>
    </w:p>
    <w:p w14:paraId="408A5F75" w14:textId="2BBAFDF0" w:rsidR="004668D0" w:rsidRDefault="00A87064" w:rsidP="00B40BDA">
      <w:pPr>
        <w:tabs>
          <w:tab w:val="right" w:pos="9900"/>
        </w:tabs>
        <w:spacing w:after="0"/>
        <w:rPr>
          <w:rFonts w:ascii="Arial" w:hAnsi="Arial" w:cs="Arial"/>
          <w:b/>
          <w:bCs/>
        </w:rPr>
      </w:pPr>
      <w:r>
        <w:rPr>
          <w:rFonts w:ascii="Arial" w:hAnsi="Arial" w:cs="Arial"/>
          <w:b/>
          <w:bCs/>
        </w:rPr>
        <w:t>Reno</w:t>
      </w:r>
      <w:r w:rsidR="00B40BDA" w:rsidRPr="00B40BDA">
        <w:rPr>
          <w:rFonts w:ascii="Arial" w:hAnsi="Arial" w:cs="Arial"/>
          <w:b/>
          <w:bCs/>
        </w:rPr>
        <w:t xml:space="preserve">, </w:t>
      </w:r>
      <w:r>
        <w:rPr>
          <w:rFonts w:ascii="Arial" w:hAnsi="Arial" w:cs="Arial"/>
          <w:b/>
          <w:bCs/>
        </w:rPr>
        <w:t>USA</w:t>
      </w:r>
      <w:r w:rsidR="00D7373E">
        <w:rPr>
          <w:rFonts w:ascii="Arial" w:hAnsi="Arial" w:cs="Arial"/>
          <w:b/>
          <w:bCs/>
        </w:rPr>
        <w:t xml:space="preserve">, </w:t>
      </w:r>
      <w:r>
        <w:rPr>
          <w:rFonts w:ascii="Arial" w:hAnsi="Arial" w:cs="Arial"/>
          <w:b/>
          <w:bCs/>
        </w:rPr>
        <w:t>May</w:t>
      </w:r>
      <w:r w:rsidR="00B40BDA" w:rsidRPr="00B40BDA">
        <w:rPr>
          <w:rFonts w:ascii="Arial" w:hAnsi="Arial" w:cs="Arial"/>
          <w:b/>
          <w:bCs/>
        </w:rPr>
        <w:t xml:space="preserve"> </w:t>
      </w:r>
      <w:r>
        <w:rPr>
          <w:rFonts w:ascii="Arial" w:hAnsi="Arial" w:cs="Arial"/>
          <w:b/>
          <w:bCs/>
        </w:rPr>
        <w:t>13</w:t>
      </w:r>
      <w:r w:rsidR="00B40BDA" w:rsidRPr="00B40BDA">
        <w:rPr>
          <w:rFonts w:ascii="Arial" w:hAnsi="Arial" w:cs="Arial"/>
          <w:b/>
          <w:bCs/>
        </w:rPr>
        <w:t>th – 1</w:t>
      </w:r>
      <w:r>
        <w:rPr>
          <w:rFonts w:ascii="Arial" w:hAnsi="Arial" w:cs="Arial"/>
          <w:b/>
          <w:bCs/>
        </w:rPr>
        <w:t>7</w:t>
      </w:r>
      <w:r w:rsidR="00B40BDA" w:rsidRPr="00B40BDA">
        <w:rPr>
          <w:rFonts w:ascii="Arial" w:hAnsi="Arial" w:cs="Arial"/>
          <w:b/>
          <w:bCs/>
        </w:rPr>
        <w:t>th, 2019</w:t>
      </w:r>
      <w:r w:rsidR="00B346EB">
        <w:rPr>
          <w:rFonts w:ascii="Arial" w:hAnsi="Arial" w:cs="Arial"/>
          <w:b/>
          <w:bCs/>
        </w:rPr>
        <w:t xml:space="preserve">  </w:t>
      </w:r>
    </w:p>
    <w:p w14:paraId="1F89DBB0" w14:textId="77777777" w:rsidR="00B40BDA" w:rsidRPr="00B40BDA" w:rsidRDefault="00B40BDA" w:rsidP="00B40BDA">
      <w:pPr>
        <w:tabs>
          <w:tab w:val="right" w:pos="9900"/>
        </w:tabs>
        <w:spacing w:after="0"/>
        <w:rPr>
          <w:rFonts w:ascii="Arial" w:hAnsi="Arial" w:cs="Arial"/>
          <w:b/>
          <w:bCs/>
        </w:rPr>
      </w:pPr>
    </w:p>
    <w:p w14:paraId="177CE56C" w14:textId="7E3EE8A6" w:rsidR="004668D0" w:rsidRPr="006F0C0F" w:rsidRDefault="004668D0" w:rsidP="004668D0">
      <w:pPr>
        <w:spacing w:after="0"/>
        <w:rPr>
          <w:b/>
          <w:snapToGrid w:val="0"/>
        </w:rPr>
      </w:pPr>
      <w:r w:rsidRPr="006F0C0F">
        <w:rPr>
          <w:b/>
          <w:snapToGrid w:val="0"/>
        </w:rPr>
        <w:t xml:space="preserve">Agenda item:    </w:t>
      </w:r>
      <w:r w:rsidR="00E46C78">
        <w:rPr>
          <w:b/>
          <w:snapToGrid w:val="0"/>
        </w:rPr>
        <w:t>11.2.</w:t>
      </w:r>
      <w:r w:rsidR="000C1549">
        <w:rPr>
          <w:b/>
          <w:snapToGrid w:val="0"/>
        </w:rPr>
        <w:t>1</w:t>
      </w:r>
      <w:r w:rsidR="001D4F4A">
        <w:rPr>
          <w:b/>
          <w:snapToGrid w:val="0"/>
        </w:rPr>
        <w:t>.2</w:t>
      </w:r>
    </w:p>
    <w:p w14:paraId="2D7A1283" w14:textId="77777777" w:rsidR="004668D0" w:rsidRPr="006F0C0F" w:rsidRDefault="004668D0" w:rsidP="004668D0">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64D7D88E" w:rsidR="004668D0" w:rsidRPr="006F0C0F" w:rsidRDefault="004668D0" w:rsidP="004668D0">
      <w:pPr>
        <w:spacing w:after="0"/>
        <w:rPr>
          <w:b/>
          <w:snapToGrid w:val="0"/>
        </w:rPr>
      </w:pPr>
      <w:r w:rsidRPr="006F0C0F">
        <w:rPr>
          <w:b/>
          <w:snapToGrid w:val="0"/>
        </w:rPr>
        <w:t xml:space="preserve">Title:                  </w:t>
      </w:r>
      <w:r w:rsidR="00A87064">
        <w:rPr>
          <w:b/>
          <w:snapToGrid w:val="0"/>
        </w:rPr>
        <w:t>Remaining Aspects of Configured Grant Transmission for NR-U</w:t>
      </w:r>
    </w:p>
    <w:p w14:paraId="099EC686" w14:textId="77777777" w:rsidR="004668D0" w:rsidRPr="006F0C0F" w:rsidRDefault="004668D0" w:rsidP="004668D0">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4668D0">
      <w:pPr>
        <w:pStyle w:val="Heading1"/>
      </w:pPr>
      <w:r w:rsidRPr="00392E7D">
        <w:t>Introduction</w:t>
      </w:r>
    </w:p>
    <w:p w14:paraId="130E7DBE" w14:textId="3A7EE028" w:rsidR="004668D0" w:rsidRDefault="004668D0" w:rsidP="004668D0">
      <w:pPr>
        <w:pStyle w:val="LGTdoc1"/>
        <w:spacing w:beforeLines="0" w:before="120" w:after="0" w:afterAutospacing="0"/>
        <w:rPr>
          <w:b w:val="0"/>
          <w:sz w:val="20"/>
        </w:rPr>
      </w:pPr>
      <w:bookmarkStart w:id="1" w:name="_Hlk534356555"/>
      <w:r>
        <w:rPr>
          <w:b w:val="0"/>
          <w:sz w:val="20"/>
        </w:rPr>
        <w:t>NR</w:t>
      </w:r>
      <w:r w:rsidR="00F52F80">
        <w:rPr>
          <w:b w:val="0"/>
          <w:sz w:val="20"/>
        </w:rPr>
        <w:t>-</w:t>
      </w:r>
      <w:r>
        <w:rPr>
          <w:b w:val="0"/>
          <w:sz w:val="20"/>
        </w:rPr>
        <w:t xml:space="preserve">U WI was approved in RAN#82, with the objectives </w:t>
      </w:r>
      <w:r w:rsidR="00D17064">
        <w:rPr>
          <w:b w:val="0"/>
          <w:sz w:val="20"/>
        </w:rPr>
        <w:t xml:space="preserve">related to </w:t>
      </w:r>
      <w:r w:rsidR="000C1549">
        <w:rPr>
          <w:b w:val="0"/>
          <w:sz w:val="20"/>
        </w:rPr>
        <w:t>Configured Grant transmissions</w:t>
      </w:r>
      <w:r w:rsidR="00D17064">
        <w:rPr>
          <w:b w:val="0"/>
          <w:sz w:val="20"/>
        </w:rPr>
        <w:t xml:space="preserve"> </w:t>
      </w:r>
      <w:r>
        <w:rPr>
          <w:b w:val="0"/>
          <w:sz w:val="20"/>
        </w:rPr>
        <w:t xml:space="preserve">provided below for reference </w:t>
      </w:r>
      <w:r w:rsidRPr="004E74F9">
        <w:rPr>
          <w:b w:val="0"/>
          <w:sz w:val="14"/>
        </w:rPr>
        <w:fldChar w:fldCharType="begin"/>
      </w:r>
      <w:r w:rsidRPr="004E74F9">
        <w:rPr>
          <w:b w:val="0"/>
          <w:sz w:val="14"/>
        </w:rPr>
        <w:instrText xml:space="preserve"> REF Ref1 \h  \* MERGEFORMAT </w:instrText>
      </w:r>
      <w:r w:rsidRPr="004E74F9">
        <w:rPr>
          <w:b w:val="0"/>
          <w:sz w:val="14"/>
        </w:rPr>
      </w:r>
      <w:r w:rsidRPr="004E74F9">
        <w:rPr>
          <w:b w:val="0"/>
          <w:sz w:val="14"/>
        </w:rPr>
        <w:fldChar w:fldCharType="separate"/>
      </w:r>
      <w:r w:rsidR="008440DB" w:rsidRPr="008440DB">
        <w:rPr>
          <w:b w:val="0"/>
          <w:sz w:val="20"/>
          <w:lang w:eastAsia="ko-KR"/>
        </w:rPr>
        <w:t>[1]</w:t>
      </w:r>
      <w:r w:rsidRPr="004E74F9">
        <w:rPr>
          <w:b w:val="0"/>
          <w:sz w:val="14"/>
        </w:rPr>
        <w:fldChar w:fldCharType="end"/>
      </w:r>
      <w:r w:rsidRPr="006361ED">
        <w:rPr>
          <w:b w:val="0"/>
          <w:sz w:val="20"/>
        </w:rPr>
        <w:t>:</w:t>
      </w:r>
      <w:r>
        <w:rPr>
          <w:b w:val="0"/>
          <w:sz w:val="20"/>
        </w:rPr>
        <w:t xml:space="preserve"> </w:t>
      </w:r>
    </w:p>
    <w:bookmarkEnd w:id="1"/>
    <w:p w14:paraId="15E04DA4" w14:textId="5AF05C70" w:rsidR="003F3673" w:rsidRPr="00C41C44" w:rsidRDefault="000C1549" w:rsidP="00C41C44">
      <w:pPr>
        <w:pStyle w:val="B2"/>
        <w:ind w:left="567" w:firstLine="0"/>
        <w:rPr>
          <w:i/>
          <w:lang w:eastAsia="ja-JP"/>
        </w:rPr>
      </w:pPr>
      <w:r w:rsidRPr="000C1549">
        <w:rPr>
          <w:i/>
          <w:lang w:eastAsia="ja-JP"/>
        </w:rPr>
        <w:t>Configured Grant operation: NR Type-1 and Type-2 configured grant mechanisms are the baseline for NR-U operation with modifications in line with agreements during the study phase (NR-U TR section 7.2.1.3.4). (RAN1)</w:t>
      </w:r>
    </w:p>
    <w:p w14:paraId="0F0928BD" w14:textId="196A4EB2" w:rsidR="00C816F4" w:rsidRDefault="000C1549" w:rsidP="004668D0">
      <w:pPr>
        <w:rPr>
          <w:lang w:val="en-US"/>
        </w:rPr>
      </w:pPr>
      <w:r>
        <w:rPr>
          <w:lang w:val="en-US"/>
        </w:rPr>
        <w:t>In RAN2#105bis, several</w:t>
      </w:r>
      <w:r w:rsidR="00A70C73">
        <w:rPr>
          <w:lang w:val="en-US"/>
        </w:rPr>
        <w:t xml:space="preserve"> agreements </w:t>
      </w:r>
      <w:r>
        <w:rPr>
          <w:lang w:val="en-US"/>
        </w:rPr>
        <w:t xml:space="preserve">were captured related to configured grant operation which </w:t>
      </w:r>
      <w:r w:rsidR="00A70C73">
        <w:rPr>
          <w:lang w:val="en-US"/>
        </w:rPr>
        <w:t>are provided below [</w:t>
      </w:r>
      <w:r w:rsidR="00C41C44">
        <w:rPr>
          <w:lang w:val="en-US"/>
        </w:rPr>
        <w:t>2</w:t>
      </w:r>
      <w:r w:rsidR="00A70C73">
        <w:rPr>
          <w:lang w:val="en-US"/>
        </w:rPr>
        <w:t>]:</w:t>
      </w:r>
    </w:p>
    <w:tbl>
      <w:tblPr>
        <w:tblStyle w:val="TableGrid"/>
        <w:tblW w:w="9535" w:type="dxa"/>
        <w:tblLook w:val="04A0" w:firstRow="1" w:lastRow="0" w:firstColumn="1" w:lastColumn="0" w:noHBand="0" w:noVBand="1"/>
      </w:tblPr>
      <w:tblGrid>
        <w:gridCol w:w="9535"/>
      </w:tblGrid>
      <w:tr w:rsidR="003F3673" w14:paraId="7FDF496B" w14:textId="77777777" w:rsidTr="00C41C44">
        <w:tc>
          <w:tcPr>
            <w:tcW w:w="9535" w:type="dxa"/>
          </w:tcPr>
          <w:p w14:paraId="7CF08DA6" w14:textId="77777777" w:rsidR="000C1549" w:rsidRPr="004E5B2D" w:rsidRDefault="000C1549" w:rsidP="000C1549">
            <w:pPr>
              <w:pStyle w:val="Agreement"/>
              <w:overflowPunct/>
              <w:autoSpaceDE/>
              <w:autoSpaceDN/>
              <w:adjustRightInd/>
              <w:spacing w:after="0"/>
              <w:textAlignment w:val="auto"/>
              <w:rPr>
                <w:sz w:val="18"/>
              </w:rPr>
            </w:pPr>
            <w:r w:rsidRPr="004E5B2D">
              <w:rPr>
                <w:sz w:val="18"/>
              </w:rPr>
              <w:t xml:space="preserve">R2 assumes that the configured grant timer is not started/restarted when configured grant is not transmitted due to LBT failure. PDU overwrite need to be avoided somehow. </w:t>
            </w:r>
          </w:p>
          <w:p w14:paraId="337703DB" w14:textId="77777777" w:rsidR="000C1549" w:rsidRPr="004E5B2D" w:rsidRDefault="000C1549" w:rsidP="000C1549">
            <w:pPr>
              <w:pStyle w:val="Agreement"/>
              <w:overflowPunct/>
              <w:autoSpaceDE/>
              <w:autoSpaceDN/>
              <w:adjustRightInd/>
              <w:spacing w:after="0"/>
              <w:textAlignment w:val="auto"/>
              <w:rPr>
                <w:sz w:val="18"/>
              </w:rPr>
            </w:pPr>
            <w:r w:rsidRPr="004E5B2D">
              <w:rPr>
                <w:sz w:val="18"/>
              </w:rPr>
              <w:t>The configured grant timer is not started/restarted when UL LBT fails on PUSCH transmission for grant received by PDCCH addressed to CS-RNTI scheduling retransmission for configured grant</w:t>
            </w:r>
          </w:p>
          <w:p w14:paraId="77DBB2CF" w14:textId="59182DED" w:rsidR="000C1549" w:rsidRPr="004E5B2D" w:rsidRDefault="000C1549" w:rsidP="000C1549">
            <w:pPr>
              <w:pStyle w:val="Agreement"/>
              <w:overflowPunct/>
              <w:autoSpaceDE/>
              <w:autoSpaceDN/>
              <w:adjustRightInd/>
              <w:spacing w:after="0"/>
              <w:textAlignment w:val="auto"/>
              <w:rPr>
                <w:sz w:val="18"/>
              </w:rPr>
            </w:pPr>
            <w:r w:rsidRPr="004E5B2D">
              <w:rPr>
                <w:sz w:val="18"/>
              </w:rPr>
              <w:t>The configured grant timer is not started/restarted when the UL LBT fails on PUSCH transmission for UL grant received by PDCCH addressed to C-RNTI, which indicates the same HARQ process configured for configured uplink grant</w:t>
            </w:r>
          </w:p>
          <w:p w14:paraId="0DAA59FD" w14:textId="77777777" w:rsidR="000C1549" w:rsidRPr="004E5B2D" w:rsidRDefault="000C1549" w:rsidP="000C1549">
            <w:pPr>
              <w:pStyle w:val="Agreement"/>
              <w:overflowPunct/>
              <w:autoSpaceDE/>
              <w:autoSpaceDN/>
              <w:adjustRightInd/>
              <w:spacing w:after="0"/>
              <w:textAlignment w:val="auto"/>
              <w:rPr>
                <w:sz w:val="18"/>
              </w:rPr>
            </w:pPr>
            <w:r w:rsidRPr="004E5B2D">
              <w:rPr>
                <w:sz w:val="18"/>
              </w:rPr>
              <w:t xml:space="preserve">Upon UL transmission on configured grant, </w:t>
            </w:r>
            <w:proofErr w:type="spellStart"/>
            <w:r w:rsidRPr="004E5B2D">
              <w:rPr>
                <w:i/>
                <w:sz w:val="18"/>
              </w:rPr>
              <w:t>bwp-InactivityTimer</w:t>
            </w:r>
            <w:proofErr w:type="spellEnd"/>
            <w:r w:rsidRPr="004E5B2D">
              <w:rPr>
                <w:i/>
                <w:sz w:val="18"/>
              </w:rPr>
              <w:t xml:space="preserve"> </w:t>
            </w:r>
            <w:r w:rsidRPr="004E5B2D">
              <w:rPr>
                <w:sz w:val="18"/>
              </w:rPr>
              <w:t>is restarted as today (i.e. at LBT success)</w:t>
            </w:r>
          </w:p>
          <w:p w14:paraId="5B4AE75F" w14:textId="77777777" w:rsidR="000C1549" w:rsidRPr="004E5B2D" w:rsidRDefault="000C1549" w:rsidP="000C1549">
            <w:pPr>
              <w:pStyle w:val="Agreement"/>
              <w:overflowPunct/>
              <w:autoSpaceDE/>
              <w:autoSpaceDN/>
              <w:adjustRightInd/>
              <w:spacing w:after="0"/>
              <w:textAlignment w:val="auto"/>
              <w:rPr>
                <w:sz w:val="18"/>
              </w:rPr>
            </w:pPr>
            <w:r w:rsidRPr="004E5B2D">
              <w:rPr>
                <w:sz w:val="18"/>
              </w:rPr>
              <w:t xml:space="preserve">Upon UL transmission on configured grant, </w:t>
            </w:r>
            <w:proofErr w:type="spellStart"/>
            <w:r w:rsidRPr="004E5B2D">
              <w:rPr>
                <w:i/>
                <w:sz w:val="18"/>
              </w:rPr>
              <w:t>sCellDeactivationTimer</w:t>
            </w:r>
            <w:proofErr w:type="spellEnd"/>
            <w:r w:rsidRPr="004E5B2D">
              <w:rPr>
                <w:i/>
                <w:sz w:val="18"/>
              </w:rPr>
              <w:t xml:space="preserve"> </w:t>
            </w:r>
            <w:r w:rsidRPr="004E5B2D">
              <w:rPr>
                <w:sz w:val="18"/>
              </w:rPr>
              <w:t>is restarted as today (i.e. at LBT success)</w:t>
            </w:r>
          </w:p>
          <w:p w14:paraId="4D0E25AD" w14:textId="77777777" w:rsidR="000C1549" w:rsidRPr="004E5B2D" w:rsidRDefault="000C1549" w:rsidP="000C1549">
            <w:pPr>
              <w:pStyle w:val="Agreement"/>
              <w:overflowPunct/>
              <w:autoSpaceDE/>
              <w:autoSpaceDN/>
              <w:adjustRightInd/>
              <w:spacing w:after="0"/>
              <w:textAlignment w:val="auto"/>
              <w:rPr>
                <w:sz w:val="18"/>
              </w:rPr>
            </w:pPr>
            <w:proofErr w:type="spellStart"/>
            <w:r w:rsidRPr="004E5B2D">
              <w:rPr>
                <w:i/>
                <w:sz w:val="18"/>
              </w:rPr>
              <w:t>drx</w:t>
            </w:r>
            <w:proofErr w:type="spellEnd"/>
            <w:r w:rsidRPr="004E5B2D">
              <w:rPr>
                <w:i/>
                <w:sz w:val="18"/>
              </w:rPr>
              <w:t>-HARQ-RTT-</w:t>
            </w:r>
            <w:proofErr w:type="spellStart"/>
            <w:r w:rsidRPr="004E5B2D">
              <w:rPr>
                <w:i/>
                <w:sz w:val="18"/>
              </w:rPr>
              <w:t>TimerUL</w:t>
            </w:r>
            <w:proofErr w:type="spellEnd"/>
            <w:r w:rsidRPr="004E5B2D">
              <w:rPr>
                <w:sz w:val="18"/>
              </w:rPr>
              <w:t xml:space="preserve"> should not be started/restarted when LBT fails for PUSCH transmission with configured grant</w:t>
            </w:r>
          </w:p>
          <w:p w14:paraId="478E5B48" w14:textId="77777777" w:rsidR="000C1549" w:rsidRPr="004E5B2D" w:rsidRDefault="000C1549" w:rsidP="000C1549">
            <w:pPr>
              <w:pStyle w:val="Agreement"/>
              <w:overflowPunct/>
              <w:autoSpaceDE/>
              <w:autoSpaceDN/>
              <w:adjustRightInd/>
              <w:spacing w:after="0"/>
              <w:textAlignment w:val="auto"/>
              <w:rPr>
                <w:noProof/>
                <w:sz w:val="18"/>
                <w:lang w:val="en-US"/>
              </w:rPr>
            </w:pPr>
            <w:r w:rsidRPr="004E5B2D">
              <w:rPr>
                <w:noProof/>
                <w:sz w:val="18"/>
                <w:lang w:val="en-US"/>
              </w:rPr>
              <w:t>Retransmissions of a TB using configured grant resources, when initial transmission or a retransmission of the TB was previously done using dynamically scheduled resources, is not allowed</w:t>
            </w:r>
          </w:p>
          <w:p w14:paraId="58C3C867" w14:textId="77777777" w:rsidR="000C1549" w:rsidRPr="004E5B2D" w:rsidRDefault="000C1549" w:rsidP="000C1549">
            <w:pPr>
              <w:pStyle w:val="Agreement"/>
              <w:overflowPunct/>
              <w:autoSpaceDE/>
              <w:autoSpaceDN/>
              <w:adjustRightInd/>
              <w:spacing w:after="0"/>
              <w:textAlignment w:val="auto"/>
              <w:rPr>
                <w:sz w:val="18"/>
                <w:lang w:val="en-US"/>
              </w:rPr>
            </w:pPr>
            <w:r w:rsidRPr="004E5B2D">
              <w:rPr>
                <w:noProof/>
                <w:sz w:val="18"/>
              </w:rPr>
              <w:t xml:space="preserve">A table for mapping between 5QI and CAPC, similar to </w:t>
            </w:r>
            <w:r w:rsidRPr="004E5B2D">
              <w:rPr>
                <w:rFonts w:cs="Arial"/>
                <w:noProof/>
                <w:sz w:val="18"/>
              </w:rPr>
              <w:t>Table 5.7.1-1 in 3GPP TS 36.300,</w:t>
            </w:r>
            <w:r w:rsidRPr="004E5B2D">
              <w:rPr>
                <w:noProof/>
                <w:sz w:val="18"/>
              </w:rPr>
              <w:t xml:space="preserve"> shall be specified</w:t>
            </w:r>
          </w:p>
          <w:p w14:paraId="69EC0D21" w14:textId="77777777" w:rsidR="000C1549" w:rsidRPr="004E5B2D" w:rsidRDefault="000C1549" w:rsidP="000C1549">
            <w:pPr>
              <w:pStyle w:val="Agreement"/>
              <w:overflowPunct/>
              <w:autoSpaceDE/>
              <w:autoSpaceDN/>
              <w:adjustRightInd/>
              <w:spacing w:after="0"/>
              <w:textAlignment w:val="auto"/>
              <w:rPr>
                <w:noProof/>
                <w:sz w:val="18"/>
              </w:rPr>
            </w:pPr>
            <w:r w:rsidRPr="004E5B2D">
              <w:rPr>
                <w:noProof/>
                <w:sz w:val="18"/>
              </w:rPr>
              <w:t>All MAC CEs, except padding BSR MAC CE, uses the highest priority CAPC, that is the lowest number CAPC, FFS for recommended rate for Voice MAC CE</w:t>
            </w:r>
          </w:p>
          <w:p w14:paraId="1FC0928B" w14:textId="77777777" w:rsidR="000C1549" w:rsidRPr="004E5B2D" w:rsidRDefault="000C1549" w:rsidP="000C1549">
            <w:pPr>
              <w:pStyle w:val="Agreement"/>
              <w:overflowPunct/>
              <w:autoSpaceDE/>
              <w:autoSpaceDN/>
              <w:adjustRightInd/>
              <w:spacing w:after="0"/>
              <w:textAlignment w:val="auto"/>
              <w:rPr>
                <w:sz w:val="18"/>
              </w:rPr>
            </w:pPr>
            <w:r w:rsidRPr="004E5B2D">
              <w:rPr>
                <w:noProof/>
                <w:sz w:val="18"/>
              </w:rPr>
              <w:t xml:space="preserve">It is FFS if for CG, when several MAC SDUs are multiplexed, CAPC is selected according to the configuration for the LCH with lowest priority CAPC (for DRB). </w:t>
            </w:r>
          </w:p>
          <w:p w14:paraId="236C0061" w14:textId="77777777" w:rsidR="000C1549" w:rsidRPr="004E5B2D" w:rsidRDefault="000C1549" w:rsidP="000C1549">
            <w:pPr>
              <w:pStyle w:val="Agreement"/>
              <w:overflowPunct/>
              <w:autoSpaceDE/>
              <w:autoSpaceDN/>
              <w:adjustRightInd/>
              <w:spacing w:after="0"/>
              <w:textAlignment w:val="auto"/>
              <w:rPr>
                <w:sz w:val="18"/>
              </w:rPr>
            </w:pPr>
            <w:r w:rsidRPr="004E5B2D">
              <w:rPr>
                <w:sz w:val="18"/>
              </w:rPr>
              <w:t>A new timer is introduced for auto retransmission (i.e. timer expiry = HARQ NACK) on configured grant for the case of the TB previous being transmitted on a configured grant “CG retransmission timer”.</w:t>
            </w:r>
          </w:p>
          <w:p w14:paraId="01575106" w14:textId="77777777" w:rsidR="000C1549" w:rsidRPr="004E5B2D" w:rsidRDefault="000C1549" w:rsidP="000C1549">
            <w:pPr>
              <w:pStyle w:val="Agreement"/>
              <w:overflowPunct/>
              <w:autoSpaceDE/>
              <w:autoSpaceDN/>
              <w:adjustRightInd/>
              <w:spacing w:after="0"/>
              <w:textAlignment w:val="auto"/>
              <w:rPr>
                <w:sz w:val="18"/>
              </w:rPr>
            </w:pPr>
            <w:r w:rsidRPr="004E5B2D">
              <w:rPr>
                <w:sz w:val="18"/>
              </w:rPr>
              <w:t xml:space="preserve">the new timer is started when the TB is </w:t>
            </w:r>
            <w:proofErr w:type="gramStart"/>
            <w:r w:rsidRPr="004E5B2D">
              <w:rPr>
                <w:sz w:val="18"/>
              </w:rPr>
              <w:t>actually transmitted</w:t>
            </w:r>
            <w:proofErr w:type="gramEnd"/>
            <w:r w:rsidRPr="004E5B2D">
              <w:rPr>
                <w:sz w:val="18"/>
              </w:rPr>
              <w:t xml:space="preserve"> on the configured grant and stopped upon reception of HARQ feedback (DFI) or dynamic grant for the HARQ process. </w:t>
            </w:r>
          </w:p>
          <w:p w14:paraId="129F2F1E" w14:textId="408D25D9" w:rsidR="003F3673" w:rsidRPr="000C1549" w:rsidRDefault="000C1549" w:rsidP="000C1549">
            <w:pPr>
              <w:pStyle w:val="Agreement"/>
              <w:overflowPunct/>
              <w:autoSpaceDE/>
              <w:autoSpaceDN/>
              <w:adjustRightInd/>
              <w:spacing w:after="0"/>
              <w:textAlignment w:val="auto"/>
            </w:pPr>
            <w:r w:rsidRPr="004E5B2D">
              <w:rPr>
                <w:sz w:val="18"/>
              </w:rPr>
              <w:t>the legacy configured grant timer and behaviour is kept for preventing the configured grant overriding the TB scheduled by dynamic grant, i.e. it is (re)started upon reception of the PDCCH as well as transmission on the PUSCH of dynamic grant.</w:t>
            </w:r>
          </w:p>
        </w:tc>
      </w:tr>
    </w:tbl>
    <w:p w14:paraId="5239E077" w14:textId="77777777" w:rsidR="004668D0" w:rsidRDefault="004668D0" w:rsidP="004668D0">
      <w:pPr>
        <w:pStyle w:val="Heading1"/>
      </w:pPr>
      <w:r>
        <w:t>Discussions</w:t>
      </w:r>
    </w:p>
    <w:p w14:paraId="4E1C1632" w14:textId="1856D05A" w:rsidR="00B40BDA" w:rsidRDefault="00662028" w:rsidP="00662028">
      <w:r>
        <w:t xml:space="preserve">Configured grant operation for NR-U is expected to follow similar principles as discussed for </w:t>
      </w:r>
      <w:r w:rsidR="000B3A4A">
        <w:t xml:space="preserve">LAA based </w:t>
      </w:r>
      <w:r>
        <w:t>AUL. Major deviations are expected to arise from NR specific features e.g. BWP switching and operation, scheduling enhancements like slot vs mini-slot based TTIs</w:t>
      </w:r>
      <w:r w:rsidR="00455A21">
        <w:t>,</w:t>
      </w:r>
      <w:r>
        <w:t xml:space="preserve"> support of </w:t>
      </w:r>
      <w:r w:rsidR="00455A21">
        <w:t>multiple services, etc</w:t>
      </w:r>
      <w:r>
        <w:t xml:space="preserve">. In RAN2#106bis, we made significant progress on specifying operation of configured grant </w:t>
      </w:r>
      <w:r w:rsidR="00455A21">
        <w:t>for</w:t>
      </w:r>
      <w:r>
        <w:t xml:space="preserve"> unlicensed spectrum. In this paper, we try to cover remaining details relevant for configured </w:t>
      </w:r>
      <w:r w:rsidR="00455A21">
        <w:t xml:space="preserve">grant </w:t>
      </w:r>
      <w:r>
        <w:t>operation.</w:t>
      </w:r>
    </w:p>
    <w:p w14:paraId="53944D06" w14:textId="55E73072" w:rsidR="00662028" w:rsidRDefault="00662028" w:rsidP="00662028">
      <w:pPr>
        <w:pStyle w:val="Heading2"/>
      </w:pPr>
      <w:r>
        <w:lastRenderedPageBreak/>
        <w:t>HARQ Process ID Selection</w:t>
      </w:r>
    </w:p>
    <w:p w14:paraId="4D862DEF" w14:textId="3A732189" w:rsidR="009F5241" w:rsidRDefault="00455A21" w:rsidP="00662028">
      <w:r>
        <w:t>C</w:t>
      </w:r>
      <w:r w:rsidR="00662028">
        <w:t xml:space="preserve">onfigured </w:t>
      </w:r>
      <w:r>
        <w:t xml:space="preserve">Grant (CG) </w:t>
      </w:r>
      <w:r w:rsidR="00662028">
        <w:t xml:space="preserve">is expected to have resource allocation consisting of </w:t>
      </w:r>
      <w:r w:rsidR="007B5F95">
        <w:t>one or more</w:t>
      </w:r>
      <w:r w:rsidR="00662028">
        <w:t xml:space="preserve"> UL transmission bundles, where each bundle may </w:t>
      </w:r>
      <w:r w:rsidR="007B5F95">
        <w:t xml:space="preserve">further </w:t>
      </w:r>
      <w:r w:rsidR="00662028">
        <w:t xml:space="preserve">consist of contiguous </w:t>
      </w:r>
      <w:r>
        <w:t xml:space="preserve">set of </w:t>
      </w:r>
      <w:r w:rsidR="00662028">
        <w:t xml:space="preserve">slots or mini-slots for </w:t>
      </w:r>
      <w:r w:rsidR="009F5241">
        <w:t xml:space="preserve">multiple </w:t>
      </w:r>
      <w:r w:rsidR="00662028">
        <w:t>UL transmission</w:t>
      </w:r>
      <w:r w:rsidR="009F5241">
        <w:t>s</w:t>
      </w:r>
      <w:r w:rsidR="00662028">
        <w:t xml:space="preserve">. </w:t>
      </w:r>
      <w:r w:rsidR="009F5241">
        <w:t>The UL transmission bundle</w:t>
      </w:r>
      <w:r w:rsidR="00662028">
        <w:t xml:space="preserve"> allows </w:t>
      </w:r>
      <w:r w:rsidR="009F5241">
        <w:t xml:space="preserve">UE to perform </w:t>
      </w:r>
      <w:r>
        <w:t xml:space="preserve">transmission of </w:t>
      </w:r>
      <w:r w:rsidR="007B5F95">
        <w:t>multiple</w:t>
      </w:r>
      <w:r w:rsidR="009F5241">
        <w:t xml:space="preserve"> TB</w:t>
      </w:r>
      <w:r w:rsidR="007B5F95">
        <w:t>s</w:t>
      </w:r>
      <w:r>
        <w:t>,</w:t>
      </w:r>
      <w:r w:rsidR="009F5241">
        <w:t xml:space="preserve"> based on single LBT </w:t>
      </w:r>
      <w:r w:rsidR="007B5F95">
        <w:t>success instance</w:t>
      </w:r>
      <w:r>
        <w:t>.</w:t>
      </w:r>
      <w:r w:rsidR="009F5241">
        <w:t xml:space="preserve"> </w:t>
      </w:r>
      <w:r>
        <w:t>Such a resource allocation</w:t>
      </w:r>
      <w:r w:rsidR="009F5241">
        <w:t xml:space="preserve"> also </w:t>
      </w:r>
      <w:r>
        <w:t>enables</w:t>
      </w:r>
      <w:r w:rsidR="009F5241">
        <w:t xml:space="preserve"> LBT diversity </w:t>
      </w:r>
      <w:r>
        <w:t>using</w:t>
      </w:r>
      <w:r w:rsidR="009F5241">
        <w:t xml:space="preserve"> time gap between successive UL transmission bundles. </w:t>
      </w:r>
    </w:p>
    <w:p w14:paraId="213A5DFB" w14:textId="64EDD015" w:rsidR="00662028" w:rsidRPr="00662028" w:rsidRDefault="009F5241" w:rsidP="00662028">
      <w:r>
        <w:t xml:space="preserve">One thing to point out is that if there is a gap between </w:t>
      </w:r>
      <w:r w:rsidR="00455A21">
        <w:t xml:space="preserve">successive </w:t>
      </w:r>
      <w:r>
        <w:t xml:space="preserve">UL transmissions performed within an UL transmission bundle, then UE may have to perform multiple LBT </w:t>
      </w:r>
      <w:r w:rsidR="00455A21">
        <w:t>operations</w:t>
      </w:r>
      <w:r>
        <w:t xml:space="preserve"> within the same bundle. This may result in throughput loss considering </w:t>
      </w:r>
      <w:r w:rsidR="00455A21">
        <w:t xml:space="preserve">failure to acquire </w:t>
      </w:r>
      <w:r>
        <w:t xml:space="preserve">channel </w:t>
      </w:r>
      <w:r w:rsidR="00455A21">
        <w:t>in due time</w:t>
      </w:r>
      <w:r>
        <w:t>. Hence, an NR-U UE should always strive to perform continuous UL transmissions (i.e. without any time gap) within an UL transmission bundle.</w:t>
      </w:r>
    </w:p>
    <w:p w14:paraId="5022D58B" w14:textId="46A10C8A" w:rsidR="009F5241" w:rsidRPr="009F5241" w:rsidRDefault="009F5241" w:rsidP="009F5241">
      <w:pPr>
        <w:pStyle w:val="Caption"/>
        <w:rPr>
          <w:i/>
          <w:iCs/>
          <w:szCs w:val="22"/>
          <w:lang w:val="en-US"/>
        </w:rPr>
      </w:pPr>
      <w:bookmarkStart w:id="2" w:name="_Toc7531494"/>
      <w:r w:rsidRPr="009F5241">
        <w:rPr>
          <w:i/>
        </w:rPr>
        <w:t xml:space="preserve">Observation </w:t>
      </w:r>
      <w:r w:rsidRPr="009F5241">
        <w:rPr>
          <w:i/>
        </w:rPr>
        <w:fldChar w:fldCharType="begin"/>
      </w:r>
      <w:r w:rsidRPr="009F5241">
        <w:rPr>
          <w:i/>
        </w:rPr>
        <w:instrText xml:space="preserve"> SEQ Observation \* ARABIC </w:instrText>
      </w:r>
      <w:r w:rsidRPr="009F5241">
        <w:rPr>
          <w:i/>
        </w:rPr>
        <w:fldChar w:fldCharType="separate"/>
      </w:r>
      <w:r w:rsidR="000B4647">
        <w:rPr>
          <w:i/>
          <w:noProof/>
        </w:rPr>
        <w:t>1</w:t>
      </w:r>
      <w:r w:rsidRPr="009F5241">
        <w:rPr>
          <w:i/>
        </w:rPr>
        <w:fldChar w:fldCharType="end"/>
      </w:r>
      <w:r w:rsidRPr="009F5241">
        <w:rPr>
          <w:i/>
        </w:rPr>
        <w:t>: Configured Grant (CG) resource configuration in NR-U may allocate contiguous set of resources for UL transmission. UE should strive to perform UL transmissions without any time gap once LBT succeeds.</w:t>
      </w:r>
      <w:bookmarkEnd w:id="2"/>
    </w:p>
    <w:p w14:paraId="04AE63C5" w14:textId="6DDA58E9" w:rsidR="009F5241" w:rsidRPr="009F5241" w:rsidRDefault="009F5241" w:rsidP="00662028">
      <w:pPr>
        <w:textAlignment w:val="center"/>
        <w:rPr>
          <w:iCs/>
          <w:kern w:val="0"/>
          <w:szCs w:val="22"/>
          <w:lang w:val="en-US"/>
        </w:rPr>
      </w:pPr>
      <w:r>
        <w:rPr>
          <w:iCs/>
          <w:kern w:val="0"/>
          <w:szCs w:val="22"/>
          <w:lang w:val="en-US"/>
        </w:rPr>
        <w:t xml:space="preserve">For configured grant operation in NR Rel-15, each UL resource has a fixed association with HARQ process id of UE. However, if we follow the same approach for NR-U, this may result in transmission gaps due to busy state of an HARQ process (e.g. UE cannot </w:t>
      </w:r>
      <w:r w:rsidR="007F6892">
        <w:rPr>
          <w:iCs/>
          <w:kern w:val="0"/>
          <w:szCs w:val="22"/>
          <w:lang w:val="en-US"/>
        </w:rPr>
        <w:t>schedule</w:t>
      </w:r>
      <w:r>
        <w:rPr>
          <w:iCs/>
          <w:kern w:val="0"/>
          <w:szCs w:val="22"/>
          <w:lang w:val="en-US"/>
        </w:rPr>
        <w:t xml:space="preserve"> an HARQ process if configured grant timer is running). To alleviate this, it is deemed beneficial to consider the approach used </w:t>
      </w:r>
      <w:r w:rsidR="007F6892">
        <w:rPr>
          <w:iCs/>
          <w:kern w:val="0"/>
          <w:szCs w:val="22"/>
          <w:lang w:val="en-US"/>
        </w:rPr>
        <w:t xml:space="preserve">in </w:t>
      </w:r>
      <w:r>
        <w:rPr>
          <w:iCs/>
          <w:kern w:val="0"/>
          <w:szCs w:val="22"/>
          <w:lang w:val="en-US"/>
        </w:rPr>
        <w:t>AUL, i.e. HARQ process id selection for a CG resource is based on UE implementation.</w:t>
      </w:r>
    </w:p>
    <w:p w14:paraId="00A66FCB" w14:textId="062FB36E" w:rsidR="004E5B2D" w:rsidRPr="004E5B2D" w:rsidRDefault="004E5B2D" w:rsidP="004E5B2D">
      <w:pPr>
        <w:pStyle w:val="Caption"/>
        <w:rPr>
          <w:i/>
        </w:rPr>
      </w:pPr>
      <w:bookmarkStart w:id="3" w:name="_Toc7531495"/>
      <w:r w:rsidRPr="004E5B2D">
        <w:rPr>
          <w:i/>
        </w:rPr>
        <w:t xml:space="preserve">Observation </w:t>
      </w:r>
      <w:r w:rsidRPr="004E5B2D">
        <w:rPr>
          <w:i/>
        </w:rPr>
        <w:fldChar w:fldCharType="begin"/>
      </w:r>
      <w:r w:rsidRPr="004E5B2D">
        <w:rPr>
          <w:i/>
        </w:rPr>
        <w:instrText xml:space="preserve"> SEQ Observation \* ARABIC </w:instrText>
      </w:r>
      <w:r w:rsidRPr="004E5B2D">
        <w:rPr>
          <w:i/>
        </w:rPr>
        <w:fldChar w:fldCharType="separate"/>
      </w:r>
      <w:r w:rsidR="000B4647">
        <w:rPr>
          <w:i/>
          <w:noProof/>
        </w:rPr>
        <w:t>2</w:t>
      </w:r>
      <w:r w:rsidRPr="004E5B2D">
        <w:rPr>
          <w:i/>
        </w:rPr>
        <w:fldChar w:fldCharType="end"/>
      </w:r>
      <w:r w:rsidRPr="004E5B2D">
        <w:rPr>
          <w:i/>
        </w:rPr>
        <w:t>: Fixing association between HARQ process ids and CG resources can lead to time gap between successive UL transmissions from the same UE.</w:t>
      </w:r>
      <w:bookmarkEnd w:id="3"/>
    </w:p>
    <w:p w14:paraId="345940DB" w14:textId="5A01FCF7" w:rsidR="00662028" w:rsidRDefault="004E5B2D" w:rsidP="004E5B2D">
      <w:pPr>
        <w:pStyle w:val="Caption"/>
      </w:pPr>
      <w:bookmarkStart w:id="4" w:name="_Toc7621852"/>
      <w:r>
        <w:t xml:space="preserve">Proposal </w:t>
      </w:r>
      <w:r>
        <w:fldChar w:fldCharType="begin"/>
      </w:r>
      <w:r>
        <w:instrText xml:space="preserve"> SEQ Proposal \* ARABIC </w:instrText>
      </w:r>
      <w:r>
        <w:fldChar w:fldCharType="separate"/>
      </w:r>
      <w:r w:rsidR="002656C9">
        <w:rPr>
          <w:noProof/>
        </w:rPr>
        <w:t>1</w:t>
      </w:r>
      <w:r>
        <w:fldChar w:fldCharType="end"/>
      </w:r>
      <w:r>
        <w:t xml:space="preserve">: </w:t>
      </w:r>
      <w:r w:rsidRPr="004E5B2D">
        <w:t>HARQ process id selection is based on UE implementation</w:t>
      </w:r>
      <w:r w:rsidR="007B5F95">
        <w:t xml:space="preserve"> like AUL</w:t>
      </w:r>
      <w:bookmarkEnd w:id="4"/>
    </w:p>
    <w:p w14:paraId="04D307F0" w14:textId="4F2AFBC1" w:rsidR="004E5B2D" w:rsidRDefault="004E5B2D" w:rsidP="004E5B2D">
      <w:pPr>
        <w:pStyle w:val="Heading2"/>
      </w:pPr>
      <w:r>
        <w:t xml:space="preserve">HARQ Retransmissions </w:t>
      </w:r>
    </w:p>
    <w:p w14:paraId="656AD9EF" w14:textId="3E757157" w:rsidR="004E5B2D" w:rsidRDefault="004E5B2D" w:rsidP="00662028">
      <w:pPr>
        <w:textAlignment w:val="center"/>
        <w:rPr>
          <w:iCs/>
        </w:rPr>
      </w:pPr>
      <w:r>
        <w:rPr>
          <w:iCs/>
        </w:rPr>
        <w:t xml:space="preserve">It has been agreed in NR-U that autonomous UE initiated HARQ retransmissions can be performed over CG resources. To control HARQ retransmissions, RAN2 agreed in previous meeting to introduce a new timer called “CG retransmission timer”, on expiry of which UE shall assume NACK. CG retransmission timer </w:t>
      </w:r>
      <w:r w:rsidR="007B5F95">
        <w:rPr>
          <w:iCs/>
        </w:rPr>
        <w:t xml:space="preserve">duration </w:t>
      </w:r>
      <w:r>
        <w:rPr>
          <w:iCs/>
        </w:rPr>
        <w:t xml:space="preserve">should consider time taken for serving </w:t>
      </w:r>
      <w:proofErr w:type="spellStart"/>
      <w:r w:rsidR="007B5F95">
        <w:rPr>
          <w:iCs/>
        </w:rPr>
        <w:t>gNB</w:t>
      </w:r>
      <w:proofErr w:type="spellEnd"/>
      <w:r>
        <w:rPr>
          <w:iCs/>
        </w:rPr>
        <w:t xml:space="preserve"> to </w:t>
      </w:r>
      <w:r w:rsidR="007B5F95">
        <w:rPr>
          <w:iCs/>
        </w:rPr>
        <w:t xml:space="preserve">process an UL transmission and subsequent </w:t>
      </w:r>
      <w:r>
        <w:rPr>
          <w:iCs/>
        </w:rPr>
        <w:t>transmi</w:t>
      </w:r>
      <w:r w:rsidR="007B5F95">
        <w:rPr>
          <w:iCs/>
        </w:rPr>
        <w:t>ssion delay of</w:t>
      </w:r>
      <w:r>
        <w:rPr>
          <w:iCs/>
        </w:rPr>
        <w:t xml:space="preserve"> HARQ ACK/NACK feedback or a dynamic UL grant</w:t>
      </w:r>
      <w:r w:rsidR="007B5F95">
        <w:rPr>
          <w:iCs/>
        </w:rPr>
        <w:t>.</w:t>
      </w:r>
      <w:r>
        <w:rPr>
          <w:iCs/>
        </w:rPr>
        <w:t xml:space="preserve"> Note that, this duration should also incorporate LBT failures that </w:t>
      </w:r>
      <w:proofErr w:type="spellStart"/>
      <w:r>
        <w:rPr>
          <w:iCs/>
        </w:rPr>
        <w:t>gNB</w:t>
      </w:r>
      <w:proofErr w:type="spellEnd"/>
      <w:r>
        <w:rPr>
          <w:iCs/>
        </w:rPr>
        <w:t xml:space="preserve"> may experience to transmit a DL message to UE. During this time, it is preferable to </w:t>
      </w:r>
      <w:r w:rsidR="007B5F95">
        <w:rPr>
          <w:iCs/>
        </w:rPr>
        <w:t xml:space="preserve">that </w:t>
      </w:r>
      <w:r>
        <w:rPr>
          <w:iCs/>
        </w:rPr>
        <w:t xml:space="preserve">UE </w:t>
      </w:r>
      <w:r w:rsidR="007B5F95">
        <w:rPr>
          <w:iCs/>
        </w:rPr>
        <w:t>should not schedule</w:t>
      </w:r>
      <w:r>
        <w:rPr>
          <w:iCs/>
        </w:rPr>
        <w:t xml:space="preserve"> any other transmission for the same HARQ process on the CG resources, to reduce pollution on unlicensed channel.</w:t>
      </w:r>
    </w:p>
    <w:p w14:paraId="750B2008" w14:textId="305A61F5" w:rsidR="004E5B2D" w:rsidRPr="004E5B2D" w:rsidRDefault="004E5B2D" w:rsidP="004E5B2D">
      <w:pPr>
        <w:pStyle w:val="Caption"/>
        <w:rPr>
          <w:i/>
          <w:iCs/>
        </w:rPr>
      </w:pPr>
      <w:bookmarkStart w:id="5" w:name="_Toc7531496"/>
      <w:r w:rsidRPr="004E5B2D">
        <w:rPr>
          <w:i/>
        </w:rPr>
        <w:t xml:space="preserve">Observation </w:t>
      </w:r>
      <w:r w:rsidRPr="004E5B2D">
        <w:rPr>
          <w:i/>
        </w:rPr>
        <w:fldChar w:fldCharType="begin"/>
      </w:r>
      <w:r w:rsidRPr="004E5B2D">
        <w:rPr>
          <w:i/>
        </w:rPr>
        <w:instrText xml:space="preserve"> SEQ Observation \* ARABIC </w:instrText>
      </w:r>
      <w:r w:rsidRPr="004E5B2D">
        <w:rPr>
          <w:i/>
        </w:rPr>
        <w:fldChar w:fldCharType="separate"/>
      </w:r>
      <w:r w:rsidR="000B4647">
        <w:rPr>
          <w:i/>
          <w:noProof/>
        </w:rPr>
        <w:t>3</w:t>
      </w:r>
      <w:r w:rsidRPr="004E5B2D">
        <w:rPr>
          <w:i/>
        </w:rPr>
        <w:fldChar w:fldCharType="end"/>
      </w:r>
      <w:r w:rsidRPr="004E5B2D">
        <w:rPr>
          <w:i/>
        </w:rPr>
        <w:t xml:space="preserve">: CG retransmission timer length </w:t>
      </w:r>
      <w:r w:rsidR="007B5F95">
        <w:rPr>
          <w:i/>
        </w:rPr>
        <w:t>is based on</w:t>
      </w:r>
      <w:r w:rsidRPr="004E5B2D">
        <w:rPr>
          <w:i/>
        </w:rPr>
        <w:t xml:space="preserve"> amount of time taken by </w:t>
      </w:r>
      <w:proofErr w:type="spellStart"/>
      <w:r w:rsidRPr="004E5B2D">
        <w:rPr>
          <w:i/>
        </w:rPr>
        <w:t>gNB</w:t>
      </w:r>
      <w:proofErr w:type="spellEnd"/>
      <w:r w:rsidRPr="004E5B2D">
        <w:rPr>
          <w:i/>
        </w:rPr>
        <w:t xml:space="preserve"> to send HARQ ACK/NACK feedback or dynamic grant. During this time, UE should avoid performing unnecessary retransmission attempts on CG resources to reduce pollution on unlicensed channel.</w:t>
      </w:r>
      <w:bookmarkEnd w:id="5"/>
    </w:p>
    <w:p w14:paraId="46D8CA7E" w14:textId="677073C1" w:rsidR="004E5B2D" w:rsidRDefault="005B379E" w:rsidP="005B379E">
      <w:pPr>
        <w:pStyle w:val="Caption"/>
      </w:pPr>
      <w:bookmarkStart w:id="6" w:name="_Toc7621853"/>
      <w:r>
        <w:t xml:space="preserve">Proposal </w:t>
      </w:r>
      <w:r>
        <w:fldChar w:fldCharType="begin"/>
      </w:r>
      <w:r>
        <w:instrText xml:space="preserve"> SEQ Proposal \* ARABIC </w:instrText>
      </w:r>
      <w:r>
        <w:fldChar w:fldCharType="separate"/>
      </w:r>
      <w:r w:rsidR="002656C9">
        <w:rPr>
          <w:noProof/>
        </w:rPr>
        <w:t>2</w:t>
      </w:r>
      <w:r>
        <w:fldChar w:fldCharType="end"/>
      </w:r>
      <w:r>
        <w:t xml:space="preserve">: </w:t>
      </w:r>
      <w:r w:rsidRPr="005B379E">
        <w:t xml:space="preserve">UE is not allowed to select an HARQ process for CG transmission </w:t>
      </w:r>
      <w:r w:rsidR="003A49D3">
        <w:t xml:space="preserve">and toggle NDI autonomously </w:t>
      </w:r>
      <w:r w:rsidRPr="005B379E">
        <w:t>when CG retransmission timer is running for the given HARQ process</w:t>
      </w:r>
      <w:bookmarkEnd w:id="6"/>
    </w:p>
    <w:p w14:paraId="5F6BAE33" w14:textId="36A3D54D" w:rsidR="005B379E" w:rsidRPr="005B379E" w:rsidRDefault="005B379E" w:rsidP="007B5F95">
      <w:pPr>
        <w:pStyle w:val="Caption"/>
      </w:pPr>
      <w:r>
        <w:rPr>
          <w:b w:val="0"/>
        </w:rPr>
        <w:t>Also, note that once UE receives an HARQ feedback or an UL grant for the same HARQ process, then there is no need to continue CG retransmission timer</w:t>
      </w:r>
      <w:r w:rsidR="007F6892">
        <w:rPr>
          <w:b w:val="0"/>
        </w:rPr>
        <w:t xml:space="preserve"> (i.e. UE should take subsequent actions immediately based on received feedback/UL grant)</w:t>
      </w:r>
      <w:r>
        <w:rPr>
          <w:b w:val="0"/>
        </w:rPr>
        <w:t xml:space="preserve">. </w:t>
      </w:r>
    </w:p>
    <w:p w14:paraId="6D8DAF44" w14:textId="784EDC40" w:rsidR="004E5B2D" w:rsidRPr="004E5B2D" w:rsidRDefault="005B379E" w:rsidP="005B379E">
      <w:pPr>
        <w:pStyle w:val="Caption"/>
      </w:pPr>
      <w:bookmarkStart w:id="7" w:name="_Toc7621854"/>
      <w:r>
        <w:t xml:space="preserve">Proposal </w:t>
      </w:r>
      <w:r>
        <w:fldChar w:fldCharType="begin"/>
      </w:r>
      <w:r>
        <w:instrText xml:space="preserve"> SEQ Proposal \* ARABIC </w:instrText>
      </w:r>
      <w:r>
        <w:fldChar w:fldCharType="separate"/>
      </w:r>
      <w:r w:rsidR="002656C9">
        <w:rPr>
          <w:noProof/>
        </w:rPr>
        <w:t>3</w:t>
      </w:r>
      <w:r>
        <w:fldChar w:fldCharType="end"/>
      </w:r>
      <w:r>
        <w:t xml:space="preserve">: </w:t>
      </w:r>
      <w:r w:rsidRPr="005B379E">
        <w:t>CG retransmission timer is stopped at the reception of HARQ feedback or UL grant for the same HARQ process</w:t>
      </w:r>
      <w:bookmarkEnd w:id="7"/>
    </w:p>
    <w:p w14:paraId="5D278244" w14:textId="607637B0" w:rsidR="005B379E" w:rsidRDefault="005B379E" w:rsidP="005B379E">
      <w:pPr>
        <w:pStyle w:val="Heading2"/>
      </w:pPr>
      <w:r>
        <w:t>Restricting Number of HARQ Retransmissions</w:t>
      </w:r>
    </w:p>
    <w:p w14:paraId="57BE12E5" w14:textId="4C032EBD" w:rsidR="005B379E" w:rsidRPr="005B379E" w:rsidRDefault="005B379E" w:rsidP="00662028">
      <w:pPr>
        <w:textAlignment w:val="center"/>
        <w:rPr>
          <w:iCs/>
        </w:rPr>
      </w:pPr>
      <w:r>
        <w:rPr>
          <w:iCs/>
        </w:rPr>
        <w:t xml:space="preserve">There has been an ongoing discussion for URLLC </w:t>
      </w:r>
      <w:r w:rsidR="00923137">
        <w:rPr>
          <w:iCs/>
        </w:rPr>
        <w:t>study</w:t>
      </w:r>
      <w:r>
        <w:rPr>
          <w:iCs/>
        </w:rPr>
        <w:t xml:space="preserve"> item, on how to support multiple configured grants within an active BWP. </w:t>
      </w:r>
      <w:r w:rsidR="00817104">
        <w:rPr>
          <w:iCs/>
        </w:rPr>
        <w:t>For this</w:t>
      </w:r>
      <w:r>
        <w:rPr>
          <w:iCs/>
        </w:rPr>
        <w:t xml:space="preserve">, </w:t>
      </w:r>
      <w:r w:rsidR="009D4898">
        <w:rPr>
          <w:iCs/>
        </w:rPr>
        <w:t>UE can be configured with multiple CG resource</w:t>
      </w:r>
      <w:r w:rsidR="00817104">
        <w:rPr>
          <w:iCs/>
        </w:rPr>
        <w:t>s</w:t>
      </w:r>
      <w:r w:rsidR="009D4898">
        <w:rPr>
          <w:iCs/>
        </w:rPr>
        <w:t xml:space="preserve">, </w:t>
      </w:r>
      <w:r w:rsidR="00817104">
        <w:rPr>
          <w:iCs/>
        </w:rPr>
        <w:t xml:space="preserve">such that </w:t>
      </w:r>
      <w:r w:rsidR="009D4898">
        <w:rPr>
          <w:iCs/>
        </w:rPr>
        <w:t xml:space="preserve">each </w:t>
      </w:r>
      <w:r w:rsidR="00817104">
        <w:rPr>
          <w:iCs/>
        </w:rPr>
        <w:t xml:space="preserve">CG </w:t>
      </w:r>
      <w:r w:rsidR="009D4898">
        <w:rPr>
          <w:iCs/>
        </w:rPr>
        <w:t>resource cater</w:t>
      </w:r>
      <w:r w:rsidR="00817104">
        <w:rPr>
          <w:iCs/>
        </w:rPr>
        <w:t>s</w:t>
      </w:r>
      <w:r w:rsidR="009D4898">
        <w:rPr>
          <w:iCs/>
        </w:rPr>
        <w:t xml:space="preserve"> to requirements of a specific service. If same concept is also extended to NR-U, then similar behaviour is expected (i.e. each CG resource associated to a set of services). Note that even in absence of multiple CG resources per active BWP, configured grant in NR-U can be utilized for delay sensitive applications (e.g. URLLC or streaming services). Hence, we need to consider requirements of such applications for CG operation of NR-U. </w:t>
      </w:r>
    </w:p>
    <w:p w14:paraId="5F19D1C6" w14:textId="6F3271F6" w:rsidR="00662028" w:rsidRPr="009D4898" w:rsidRDefault="009D4898" w:rsidP="009D4898">
      <w:pPr>
        <w:pStyle w:val="Caption"/>
        <w:rPr>
          <w:i/>
          <w:iCs/>
        </w:rPr>
      </w:pPr>
      <w:bookmarkStart w:id="8" w:name="_Toc7531497"/>
      <w:r w:rsidRPr="009D4898">
        <w:rPr>
          <w:i/>
        </w:rPr>
        <w:t xml:space="preserve">Observation </w:t>
      </w:r>
      <w:r w:rsidRPr="009D4898">
        <w:rPr>
          <w:i/>
        </w:rPr>
        <w:fldChar w:fldCharType="begin"/>
      </w:r>
      <w:r w:rsidRPr="009D4898">
        <w:rPr>
          <w:i/>
        </w:rPr>
        <w:instrText xml:space="preserve"> SEQ Observation \* ARABIC </w:instrText>
      </w:r>
      <w:r w:rsidRPr="009D4898">
        <w:rPr>
          <w:i/>
        </w:rPr>
        <w:fldChar w:fldCharType="separate"/>
      </w:r>
      <w:r w:rsidR="000B4647">
        <w:rPr>
          <w:i/>
          <w:noProof/>
        </w:rPr>
        <w:t>4</w:t>
      </w:r>
      <w:r w:rsidRPr="009D4898">
        <w:rPr>
          <w:i/>
        </w:rPr>
        <w:fldChar w:fldCharType="end"/>
      </w:r>
      <w:r w:rsidRPr="009D4898">
        <w:rPr>
          <w:i/>
        </w:rPr>
        <w:t>: NR-U may support multiple active CGs within a BWP, where each CG can be associated to a specific service</w:t>
      </w:r>
      <w:r>
        <w:rPr>
          <w:i/>
        </w:rPr>
        <w:t>.</w:t>
      </w:r>
      <w:bookmarkEnd w:id="8"/>
    </w:p>
    <w:p w14:paraId="7C917457" w14:textId="64AC19FD" w:rsidR="00662028" w:rsidRPr="009D4898" w:rsidRDefault="009D4898" w:rsidP="009D4898">
      <w:pPr>
        <w:pStyle w:val="Caption"/>
        <w:rPr>
          <w:i/>
          <w:iCs/>
        </w:rPr>
      </w:pPr>
      <w:bookmarkStart w:id="9" w:name="_Toc7531498"/>
      <w:r w:rsidRPr="009D4898">
        <w:rPr>
          <w:i/>
        </w:rPr>
        <w:t xml:space="preserve">Observation </w:t>
      </w:r>
      <w:r w:rsidRPr="009D4898">
        <w:rPr>
          <w:i/>
        </w:rPr>
        <w:fldChar w:fldCharType="begin"/>
      </w:r>
      <w:r w:rsidRPr="009D4898">
        <w:rPr>
          <w:i/>
        </w:rPr>
        <w:instrText xml:space="preserve"> SEQ Observation \* ARABIC </w:instrText>
      </w:r>
      <w:r w:rsidRPr="009D4898">
        <w:rPr>
          <w:i/>
        </w:rPr>
        <w:fldChar w:fldCharType="separate"/>
      </w:r>
      <w:r w:rsidR="000B4647">
        <w:rPr>
          <w:i/>
          <w:noProof/>
        </w:rPr>
        <w:t>5</w:t>
      </w:r>
      <w:r w:rsidRPr="009D4898">
        <w:rPr>
          <w:i/>
        </w:rPr>
        <w:fldChar w:fldCharType="end"/>
      </w:r>
      <w:r w:rsidRPr="009D4898">
        <w:rPr>
          <w:i/>
        </w:rPr>
        <w:t>: NR-U CG may need to support delay sensitive services like URLLC, streaming services along with best effort applications.</w:t>
      </w:r>
      <w:bookmarkEnd w:id="9"/>
    </w:p>
    <w:p w14:paraId="136BAF5B" w14:textId="2B681D46" w:rsidR="006E418A" w:rsidRDefault="009D4898" w:rsidP="00662028">
      <w:pPr>
        <w:textAlignment w:val="center"/>
        <w:rPr>
          <w:iCs/>
        </w:rPr>
      </w:pPr>
      <w:r>
        <w:rPr>
          <w:iCs/>
        </w:rPr>
        <w:t xml:space="preserve">Note that delay sensitive applications like URLLC assume that a packet is valid only for a certain duration </w:t>
      </w:r>
      <w:r w:rsidR="00817104">
        <w:rPr>
          <w:iCs/>
        </w:rPr>
        <w:t xml:space="preserve">of time </w:t>
      </w:r>
      <w:r>
        <w:rPr>
          <w:iCs/>
        </w:rPr>
        <w:t xml:space="preserve">and, keeping the packet in HARQ buffer </w:t>
      </w:r>
      <w:r w:rsidR="00817104">
        <w:rPr>
          <w:iCs/>
        </w:rPr>
        <w:t>for a higher</w:t>
      </w:r>
      <w:r w:rsidR="006E418A">
        <w:rPr>
          <w:iCs/>
        </w:rPr>
        <w:t xml:space="preserve"> duration </w:t>
      </w:r>
      <w:r w:rsidR="00817104">
        <w:rPr>
          <w:iCs/>
        </w:rPr>
        <w:t>would</w:t>
      </w:r>
      <w:r>
        <w:rPr>
          <w:iCs/>
        </w:rPr>
        <w:t xml:space="preserve"> only wast</w:t>
      </w:r>
      <w:r w:rsidR="00817104">
        <w:rPr>
          <w:iCs/>
        </w:rPr>
        <w:t>e</w:t>
      </w:r>
      <w:r>
        <w:rPr>
          <w:iCs/>
        </w:rPr>
        <w:t xml:space="preserve"> limited </w:t>
      </w:r>
      <w:r w:rsidR="006E418A">
        <w:rPr>
          <w:iCs/>
        </w:rPr>
        <w:t xml:space="preserve">radio </w:t>
      </w:r>
      <w:r>
        <w:rPr>
          <w:iCs/>
        </w:rPr>
        <w:t xml:space="preserve">resources. In Rel-15 NR, UE assumes ACK for an HARQ process after expiry of configured grant timer, which results in pre-emption of </w:t>
      </w:r>
      <w:r>
        <w:rPr>
          <w:iCs/>
        </w:rPr>
        <w:lastRenderedPageBreak/>
        <w:t xml:space="preserve">HARQ process at regular intervals. However, in NR-U, no such mechanism has been defined so far. </w:t>
      </w:r>
    </w:p>
    <w:p w14:paraId="019553AB" w14:textId="7699B4D0" w:rsidR="009D4898" w:rsidRPr="009D4898" w:rsidRDefault="00817104" w:rsidP="00662028">
      <w:pPr>
        <w:textAlignment w:val="center"/>
        <w:rPr>
          <w:iCs/>
        </w:rPr>
      </w:pPr>
      <w:r>
        <w:rPr>
          <w:iCs/>
        </w:rPr>
        <w:t>Note that for</w:t>
      </w:r>
      <w:r w:rsidR="006E418A">
        <w:rPr>
          <w:iCs/>
        </w:rPr>
        <w:t xml:space="preserve"> </w:t>
      </w:r>
      <w:r w:rsidR="009D4898">
        <w:rPr>
          <w:iCs/>
        </w:rPr>
        <w:t>AUL</w:t>
      </w:r>
      <w:r w:rsidR="006E418A">
        <w:rPr>
          <w:iCs/>
        </w:rPr>
        <w:t xml:space="preserve"> specified in LAA</w:t>
      </w:r>
      <w:r w:rsidR="009D4898">
        <w:rPr>
          <w:iCs/>
        </w:rPr>
        <w:t>, UE does not clear HARQ buffer autonomously</w:t>
      </w:r>
      <w:r w:rsidR="006E418A">
        <w:rPr>
          <w:iCs/>
        </w:rPr>
        <w:t>.</w:t>
      </w:r>
      <w:r w:rsidR="009D4898">
        <w:rPr>
          <w:iCs/>
        </w:rPr>
        <w:t xml:space="preserve"> </w:t>
      </w:r>
      <w:r w:rsidR="006E418A">
        <w:rPr>
          <w:iCs/>
        </w:rPr>
        <w:t>UE</w:t>
      </w:r>
      <w:r w:rsidR="009D4898">
        <w:rPr>
          <w:iCs/>
        </w:rPr>
        <w:t xml:space="preserve"> may clear the buffer </w:t>
      </w:r>
      <w:r>
        <w:rPr>
          <w:iCs/>
        </w:rPr>
        <w:t xml:space="preserve">only </w:t>
      </w:r>
      <w:r w:rsidR="009D4898">
        <w:rPr>
          <w:iCs/>
        </w:rPr>
        <w:t xml:space="preserve">when </w:t>
      </w:r>
      <w:r w:rsidR="006E418A">
        <w:rPr>
          <w:iCs/>
        </w:rPr>
        <w:t>it</w:t>
      </w:r>
      <w:r w:rsidR="009D4898">
        <w:rPr>
          <w:iCs/>
        </w:rPr>
        <w:t xml:space="preserve"> receives HARQ ACK/NACK feedback or an UL grant from the network. This approach </w:t>
      </w:r>
      <w:r>
        <w:rPr>
          <w:iCs/>
        </w:rPr>
        <w:t>is feasible</w:t>
      </w:r>
      <w:r w:rsidR="009D4898">
        <w:rPr>
          <w:iCs/>
        </w:rPr>
        <w:t xml:space="preserve"> </w:t>
      </w:r>
      <w:r>
        <w:rPr>
          <w:iCs/>
        </w:rPr>
        <w:t>for</w:t>
      </w:r>
      <w:r w:rsidR="009D4898">
        <w:rPr>
          <w:iCs/>
        </w:rPr>
        <w:t xml:space="preserve"> LTE LAA</w:t>
      </w:r>
      <w:r>
        <w:rPr>
          <w:iCs/>
        </w:rPr>
        <w:t>,</w:t>
      </w:r>
      <w:r w:rsidR="009D4898">
        <w:rPr>
          <w:iCs/>
        </w:rPr>
        <w:t xml:space="preserve"> as HARQ feedback or UL grant can be transmitted using primary licensed carrier. However, in NR-U, </w:t>
      </w:r>
      <w:r w:rsidR="000B4647">
        <w:rPr>
          <w:iCs/>
        </w:rPr>
        <w:t xml:space="preserve">clearing of HARQ buffer solely based on network feedback results in extensive unlicensed channel pollution (due to frequent DL feedback transmissions from network) and </w:t>
      </w:r>
      <w:r>
        <w:rPr>
          <w:iCs/>
        </w:rPr>
        <w:t>may lead to</w:t>
      </w:r>
      <w:r w:rsidR="000B4647">
        <w:rPr>
          <w:iCs/>
        </w:rPr>
        <w:t xml:space="preserve"> significant delay </w:t>
      </w:r>
      <w:r>
        <w:rPr>
          <w:iCs/>
        </w:rPr>
        <w:t>in</w:t>
      </w:r>
      <w:r w:rsidR="000B4647">
        <w:rPr>
          <w:iCs/>
        </w:rPr>
        <w:t xml:space="preserve"> clear</w:t>
      </w:r>
      <w:r>
        <w:rPr>
          <w:iCs/>
        </w:rPr>
        <w:t>ing</w:t>
      </w:r>
      <w:r w:rsidR="000B4647">
        <w:rPr>
          <w:iCs/>
        </w:rPr>
        <w:t xml:space="preserve"> HARQ buffer (e.g. when DL feedback is delayed due to channel acquisition failures) which can be used </w:t>
      </w:r>
      <w:r w:rsidR="006E418A">
        <w:rPr>
          <w:iCs/>
        </w:rPr>
        <w:t>for</w:t>
      </w:r>
      <w:r w:rsidR="000B4647">
        <w:rPr>
          <w:iCs/>
        </w:rPr>
        <w:t xml:space="preserve"> a new transmission.</w:t>
      </w:r>
    </w:p>
    <w:p w14:paraId="73291E85" w14:textId="6721E399" w:rsidR="00662028" w:rsidRDefault="000B4647" w:rsidP="000B4647">
      <w:pPr>
        <w:pStyle w:val="Caption"/>
        <w:rPr>
          <w:i/>
        </w:rPr>
      </w:pPr>
      <w:bookmarkStart w:id="10" w:name="_Toc7531499"/>
      <w:r w:rsidRPr="000B4647">
        <w:rPr>
          <w:i/>
        </w:rPr>
        <w:t xml:space="preserve">Observation </w:t>
      </w:r>
      <w:r w:rsidRPr="000B4647">
        <w:rPr>
          <w:i/>
        </w:rPr>
        <w:fldChar w:fldCharType="begin"/>
      </w:r>
      <w:r w:rsidRPr="000B4647">
        <w:rPr>
          <w:i/>
        </w:rPr>
        <w:instrText xml:space="preserve"> SEQ Observation \* ARABIC </w:instrText>
      </w:r>
      <w:r w:rsidRPr="000B4647">
        <w:rPr>
          <w:i/>
        </w:rPr>
        <w:fldChar w:fldCharType="separate"/>
      </w:r>
      <w:r>
        <w:rPr>
          <w:i/>
          <w:noProof/>
        </w:rPr>
        <w:t>6</w:t>
      </w:r>
      <w:r w:rsidRPr="000B4647">
        <w:rPr>
          <w:i/>
        </w:rPr>
        <w:fldChar w:fldCharType="end"/>
      </w:r>
      <w:r w:rsidRPr="000B4647">
        <w:rPr>
          <w:i/>
        </w:rPr>
        <w:t xml:space="preserve">: In AUL, UE continues performing HARQ retransmissions until it receives an ACK/NACK </w:t>
      </w:r>
      <w:r w:rsidR="00BC61FA" w:rsidRPr="000B4647">
        <w:rPr>
          <w:i/>
        </w:rPr>
        <w:t>feedback,</w:t>
      </w:r>
      <w:r w:rsidRPr="000B4647">
        <w:rPr>
          <w:i/>
        </w:rPr>
        <w:t xml:space="preserve"> or an uplink grant for the HARQ process. </w:t>
      </w:r>
      <w:r>
        <w:rPr>
          <w:i/>
        </w:rPr>
        <w:t>Such a mechanism is feasible for LAA because of network feedback indication using primary licensed carrier.</w:t>
      </w:r>
      <w:bookmarkEnd w:id="10"/>
    </w:p>
    <w:p w14:paraId="6931449D" w14:textId="0B63B870" w:rsidR="000B4647" w:rsidRPr="000B4647" w:rsidRDefault="000B4647" w:rsidP="000B4647">
      <w:pPr>
        <w:pStyle w:val="Caption"/>
        <w:rPr>
          <w:i/>
        </w:rPr>
      </w:pPr>
      <w:bookmarkStart w:id="11" w:name="_Toc7531500"/>
      <w:r w:rsidRPr="000B4647">
        <w:rPr>
          <w:i/>
        </w:rPr>
        <w:t xml:space="preserve">Observation </w:t>
      </w:r>
      <w:r w:rsidRPr="000B4647">
        <w:rPr>
          <w:i/>
        </w:rPr>
        <w:fldChar w:fldCharType="begin"/>
      </w:r>
      <w:r w:rsidRPr="000B4647">
        <w:rPr>
          <w:i/>
        </w:rPr>
        <w:instrText xml:space="preserve"> SEQ Observation \* ARABIC </w:instrText>
      </w:r>
      <w:r w:rsidRPr="000B4647">
        <w:rPr>
          <w:i/>
        </w:rPr>
        <w:fldChar w:fldCharType="separate"/>
      </w:r>
      <w:r>
        <w:rPr>
          <w:i/>
          <w:noProof/>
        </w:rPr>
        <w:t>7</w:t>
      </w:r>
      <w:r w:rsidRPr="000B4647">
        <w:rPr>
          <w:i/>
        </w:rPr>
        <w:fldChar w:fldCharType="end"/>
      </w:r>
      <w:r w:rsidRPr="000B4647">
        <w:rPr>
          <w:i/>
        </w:rPr>
        <w:t xml:space="preserve">: For NR-U, network feedback based HARQ process clearing results in extensive pollution in unlicensed channel and </w:t>
      </w:r>
      <w:r w:rsidR="006E418A">
        <w:rPr>
          <w:i/>
        </w:rPr>
        <w:t>significant d</w:t>
      </w:r>
      <w:r w:rsidRPr="000B4647">
        <w:rPr>
          <w:i/>
        </w:rPr>
        <w:t>elay and throughput reduction due to HARQ process buffers being occupied by TBs which are no longer valid.</w:t>
      </w:r>
      <w:bookmarkEnd w:id="11"/>
    </w:p>
    <w:p w14:paraId="0B84CA55" w14:textId="558F92A0" w:rsidR="00662028" w:rsidRDefault="007F6892" w:rsidP="007F6892">
      <w:pPr>
        <w:pStyle w:val="Caption"/>
      </w:pPr>
      <w:bookmarkStart w:id="12" w:name="_Toc7621855"/>
      <w:r>
        <w:t xml:space="preserve">Proposal </w:t>
      </w:r>
      <w:r>
        <w:fldChar w:fldCharType="begin"/>
      </w:r>
      <w:r>
        <w:instrText xml:space="preserve"> SEQ Proposal \* ARABIC </w:instrText>
      </w:r>
      <w:r>
        <w:fldChar w:fldCharType="separate"/>
      </w:r>
      <w:r w:rsidR="002656C9">
        <w:rPr>
          <w:noProof/>
        </w:rPr>
        <w:t>4</w:t>
      </w:r>
      <w:r>
        <w:fldChar w:fldCharType="end"/>
      </w:r>
      <w:r>
        <w:t xml:space="preserve">: </w:t>
      </w:r>
      <w:r w:rsidRPr="007F6892">
        <w:t>RAN2 to discuss mechanism to restrict number of HARQ retransmissions for NR-U CG</w:t>
      </w:r>
      <w:bookmarkEnd w:id="12"/>
    </w:p>
    <w:p w14:paraId="40EF3A32" w14:textId="6B7AE3F0" w:rsidR="000B4647" w:rsidRPr="000B4647" w:rsidRDefault="000B4647" w:rsidP="00662028">
      <w:pPr>
        <w:textAlignment w:val="center"/>
        <w:rPr>
          <w:iCs/>
        </w:rPr>
      </w:pPr>
      <w:r>
        <w:rPr>
          <w:iCs/>
        </w:rPr>
        <w:t xml:space="preserve">Note that CG timer can be a natural choice to restrict number of </w:t>
      </w:r>
      <w:r w:rsidR="00BC61FA">
        <w:rPr>
          <w:iCs/>
        </w:rPr>
        <w:t>retransmissions</w:t>
      </w:r>
      <w:r>
        <w:rPr>
          <w:iCs/>
        </w:rPr>
        <w:t xml:space="preserve"> attempts</w:t>
      </w:r>
      <w:r w:rsidR="006E418A">
        <w:rPr>
          <w:iCs/>
        </w:rPr>
        <w:t>,</w:t>
      </w:r>
      <w:r>
        <w:rPr>
          <w:iCs/>
        </w:rPr>
        <w:t xml:space="preserve"> as NR Rel-15 framework assumes ACK at CG timer expiry. However, NR does not allow usage of CG resource</w:t>
      </w:r>
      <w:r w:rsidR="00817104">
        <w:rPr>
          <w:iCs/>
        </w:rPr>
        <w:t>s</w:t>
      </w:r>
      <w:r>
        <w:rPr>
          <w:iCs/>
        </w:rPr>
        <w:t xml:space="preserve"> when CG timer is running</w:t>
      </w:r>
      <w:r w:rsidR="00817104">
        <w:rPr>
          <w:iCs/>
        </w:rPr>
        <w:t>.</w:t>
      </w:r>
      <w:r>
        <w:rPr>
          <w:iCs/>
        </w:rPr>
        <w:t xml:space="preserve"> </w:t>
      </w:r>
      <w:r w:rsidR="00817104">
        <w:rPr>
          <w:iCs/>
        </w:rPr>
        <w:t>W</w:t>
      </w:r>
      <w:r>
        <w:rPr>
          <w:iCs/>
        </w:rPr>
        <w:t xml:space="preserve">e may </w:t>
      </w:r>
      <w:r w:rsidR="00817104">
        <w:rPr>
          <w:iCs/>
        </w:rPr>
        <w:t>need</w:t>
      </w:r>
      <w:r>
        <w:rPr>
          <w:iCs/>
        </w:rPr>
        <w:t xml:space="preserve"> to update </w:t>
      </w:r>
      <w:r w:rsidR="00817104">
        <w:rPr>
          <w:iCs/>
        </w:rPr>
        <w:t>the timer operation</w:t>
      </w:r>
      <w:r>
        <w:rPr>
          <w:iCs/>
        </w:rPr>
        <w:t xml:space="preserve"> to allow UE to perform HARQ retransmissions on CG resource </w:t>
      </w:r>
      <w:r w:rsidR="00817104">
        <w:rPr>
          <w:iCs/>
        </w:rPr>
        <w:t xml:space="preserve">even </w:t>
      </w:r>
      <w:r>
        <w:rPr>
          <w:iCs/>
        </w:rPr>
        <w:t>when CG timer is running.</w:t>
      </w:r>
    </w:p>
    <w:p w14:paraId="0052D5A8" w14:textId="1D2CB80C" w:rsidR="00662028" w:rsidRPr="000B4647" w:rsidRDefault="000B4647" w:rsidP="000B4647">
      <w:pPr>
        <w:pStyle w:val="Caption"/>
        <w:rPr>
          <w:i/>
          <w:iCs/>
        </w:rPr>
      </w:pPr>
      <w:bookmarkStart w:id="13" w:name="_Toc7531501"/>
      <w:r w:rsidRPr="000B4647">
        <w:rPr>
          <w:i/>
        </w:rPr>
        <w:t xml:space="preserve">Observation </w:t>
      </w:r>
      <w:r w:rsidRPr="000B4647">
        <w:rPr>
          <w:i/>
        </w:rPr>
        <w:fldChar w:fldCharType="begin"/>
      </w:r>
      <w:r w:rsidRPr="000B4647">
        <w:rPr>
          <w:i/>
        </w:rPr>
        <w:instrText xml:space="preserve"> SEQ Observation \* ARABIC </w:instrText>
      </w:r>
      <w:r w:rsidRPr="000B4647">
        <w:rPr>
          <w:i/>
        </w:rPr>
        <w:fldChar w:fldCharType="separate"/>
      </w:r>
      <w:r w:rsidRPr="000B4647">
        <w:rPr>
          <w:i/>
          <w:noProof/>
        </w:rPr>
        <w:t>8</w:t>
      </w:r>
      <w:r w:rsidRPr="000B4647">
        <w:rPr>
          <w:i/>
        </w:rPr>
        <w:fldChar w:fldCharType="end"/>
      </w:r>
      <w:r w:rsidRPr="000B4647">
        <w:rPr>
          <w:i/>
        </w:rPr>
        <w:t>: In NR Rel-15, UE assumes ACK at the end of CG timer expiry. CG timer can be a natural choice to restrict number of HARQ retransmissions.</w:t>
      </w:r>
      <w:bookmarkEnd w:id="13"/>
    </w:p>
    <w:p w14:paraId="04DB390B" w14:textId="7F446BC8" w:rsidR="00662028" w:rsidRDefault="000B4647" w:rsidP="000B4647">
      <w:pPr>
        <w:pStyle w:val="Caption"/>
      </w:pPr>
      <w:bookmarkStart w:id="14" w:name="_Toc7621856"/>
      <w:r>
        <w:t xml:space="preserve">Proposal </w:t>
      </w:r>
      <w:r>
        <w:fldChar w:fldCharType="begin"/>
      </w:r>
      <w:r>
        <w:instrText xml:space="preserve"> SEQ Proposal \* ARABIC </w:instrText>
      </w:r>
      <w:r>
        <w:fldChar w:fldCharType="separate"/>
      </w:r>
      <w:r w:rsidR="002656C9">
        <w:rPr>
          <w:noProof/>
        </w:rPr>
        <w:t>5</w:t>
      </w:r>
      <w:r>
        <w:fldChar w:fldCharType="end"/>
      </w:r>
      <w:r>
        <w:t xml:space="preserve">: </w:t>
      </w:r>
      <w:r w:rsidRPr="000B4647">
        <w:t>UE performs HARQ retransmissions for an HARQ process until CG timer is running. UE assumes ACK for the HARQ process at CG timer expiry.</w:t>
      </w:r>
      <w:bookmarkEnd w:id="14"/>
    </w:p>
    <w:p w14:paraId="41C7BF7E" w14:textId="0F4F2F53" w:rsidR="009D44ED" w:rsidRDefault="002E6D8B" w:rsidP="009D44ED">
      <w:pPr>
        <w:keepNext/>
        <w:jc w:val="center"/>
      </w:pPr>
      <w:r w:rsidRPr="004B15EF">
        <w:rPr>
          <w:lang w:val="en-US"/>
        </w:rPr>
        <w:object w:dxaOrig="10520" w:dyaOrig="5813" w14:anchorId="28804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95pt;height:185.35pt" o:ole="">
            <v:imagedata r:id="rId13" o:title="" cropbottom="16236f" cropright="8972f"/>
          </v:shape>
          <o:OLEObject Type="Embed" ProgID="Visio.Drawing.11" ShapeID="_x0000_i1025" DrawAspect="Content" ObjectID="_1618245838" r:id="rId14"/>
        </w:object>
      </w:r>
    </w:p>
    <w:p w14:paraId="4C95F5BD" w14:textId="05A2E900" w:rsidR="004B15EF" w:rsidRDefault="009D44ED" w:rsidP="009D44ED">
      <w:pPr>
        <w:pStyle w:val="Caption"/>
        <w:jc w:val="center"/>
      </w:pPr>
      <w:r>
        <w:t xml:space="preserve">Figure </w:t>
      </w:r>
      <w:r>
        <w:fldChar w:fldCharType="begin"/>
      </w:r>
      <w:r>
        <w:instrText xml:space="preserve"> SEQ Figure \* ARABIC </w:instrText>
      </w:r>
      <w:r>
        <w:fldChar w:fldCharType="separate"/>
      </w:r>
      <w:r w:rsidR="002656C9">
        <w:rPr>
          <w:noProof/>
        </w:rPr>
        <w:t>1</w:t>
      </w:r>
      <w:r>
        <w:fldChar w:fldCharType="end"/>
      </w:r>
      <w:r>
        <w:t xml:space="preserve"> Restricting number of HARQ retransmission attempts using CG timer</w:t>
      </w:r>
    </w:p>
    <w:p w14:paraId="53B3C782" w14:textId="4C2913CC" w:rsidR="002E6D8B" w:rsidRDefault="002E6D8B" w:rsidP="002E6D8B">
      <w:pPr>
        <w:pStyle w:val="Heading2"/>
      </w:pPr>
      <w:r>
        <w:t>Dynamic Grant Overriding</w:t>
      </w:r>
    </w:p>
    <w:p w14:paraId="1EFA7623" w14:textId="7533BE45" w:rsidR="0046047D" w:rsidRDefault="0046047D" w:rsidP="002E6D8B">
      <w:r>
        <w:t>There is an open</w:t>
      </w:r>
      <w:r w:rsidR="002E6D8B">
        <w:t xml:space="preserve"> issue </w:t>
      </w:r>
      <w:r>
        <w:t>that</w:t>
      </w:r>
      <w:r w:rsidR="002E6D8B">
        <w:t xml:space="preserve"> during the time UE is trying to acquire the </w:t>
      </w:r>
      <w:r>
        <w:t xml:space="preserve">unlicensed </w:t>
      </w:r>
      <w:r w:rsidR="002E6D8B">
        <w:t>channel to perform a</w:t>
      </w:r>
      <w:r>
        <w:t>n HARQ</w:t>
      </w:r>
      <w:r w:rsidR="002E6D8B">
        <w:t xml:space="preserve"> transmission </w:t>
      </w:r>
      <w:r>
        <w:t xml:space="preserve">on CG resource </w:t>
      </w:r>
      <w:r w:rsidR="002E6D8B">
        <w:t xml:space="preserve">(UE may have attempted </w:t>
      </w:r>
      <w:r>
        <w:t>several</w:t>
      </w:r>
      <w:r w:rsidR="002E6D8B">
        <w:t xml:space="preserve"> LBT attempts which failed), </w:t>
      </w:r>
      <w:r>
        <w:t xml:space="preserve">UE may receive </w:t>
      </w:r>
      <w:r w:rsidR="002E6D8B">
        <w:t xml:space="preserve">an UL grant </w:t>
      </w:r>
      <w:r>
        <w:t xml:space="preserve">for the same HARQ process indicating new TB transmission. This may occur for following cases: </w:t>
      </w:r>
    </w:p>
    <w:p w14:paraId="61B06854" w14:textId="77777777" w:rsidR="0046047D" w:rsidRDefault="0046047D" w:rsidP="0046047D">
      <w:pPr>
        <w:pStyle w:val="ListParagraph"/>
        <w:numPr>
          <w:ilvl w:val="0"/>
          <w:numId w:val="39"/>
        </w:numPr>
      </w:pPr>
      <w:proofErr w:type="spellStart"/>
      <w:r>
        <w:t>gNB</w:t>
      </w:r>
      <w:proofErr w:type="spellEnd"/>
      <w:r>
        <w:t xml:space="preserve"> provides a dynamic grant to UE with NDI toggled</w:t>
      </w:r>
    </w:p>
    <w:p w14:paraId="61061F9D" w14:textId="481B75A5" w:rsidR="0046047D" w:rsidRDefault="0046047D" w:rsidP="0046047D">
      <w:pPr>
        <w:pStyle w:val="ListParagraph"/>
        <w:numPr>
          <w:ilvl w:val="0"/>
          <w:numId w:val="39"/>
        </w:numPr>
      </w:pPr>
      <w:r>
        <w:t>Automatic NDI toggle is performed by UE as configured grant time</w:t>
      </w:r>
      <w:r w:rsidR="00486122">
        <w:t>r</w:t>
      </w:r>
      <w:r>
        <w:t xml:space="preserve"> is not running</w:t>
      </w:r>
      <w:r w:rsidR="002E6D8B">
        <w:t xml:space="preserve"> </w:t>
      </w:r>
    </w:p>
    <w:p w14:paraId="34BC22E4" w14:textId="77777777" w:rsidR="0046047D" w:rsidRDefault="0046047D" w:rsidP="0046047D">
      <w:pPr>
        <w:pStyle w:val="ListParagraph"/>
        <w:ind w:left="720"/>
      </w:pPr>
    </w:p>
    <w:p w14:paraId="5EE964EE" w14:textId="667C574F" w:rsidR="002E6D8B" w:rsidRDefault="002E6D8B" w:rsidP="0046047D">
      <w:r>
        <w:t xml:space="preserve">Due to this, Rel-15 NR behaviour dictates the UE to flush the TB stored in HARQ process and generate a new TB </w:t>
      </w:r>
      <w:r w:rsidR="0046047D">
        <w:t>to be transmitted based on the new grant. This will result in loss of MAC PDUs without even single successful transmission attempt by UE.</w:t>
      </w:r>
    </w:p>
    <w:p w14:paraId="6EC86C6E" w14:textId="3664E458" w:rsidR="002656C9" w:rsidRDefault="002656C9" w:rsidP="002656C9">
      <w:pPr>
        <w:keepNext/>
        <w:jc w:val="center"/>
      </w:pPr>
      <w:r w:rsidRPr="002656C9">
        <w:rPr>
          <w:lang w:val="en-US"/>
        </w:rPr>
        <w:object w:dxaOrig="11326" w:dyaOrig="5214" w14:anchorId="3B8697EF">
          <v:shape id="_x0000_i1026" type="#_x0000_t75" style="width:335.7pt;height:138pt" o:ole="">
            <v:imagedata r:id="rId15" o:title="" cropbottom="14483f" cropright="8333f"/>
          </v:shape>
          <o:OLEObject Type="Embed" ProgID="Visio.Drawing.11" ShapeID="_x0000_i1026" DrawAspect="Content" ObjectID="_1618245839" r:id="rId16"/>
        </w:object>
      </w:r>
    </w:p>
    <w:p w14:paraId="4B2E6337" w14:textId="68253FFA" w:rsidR="002656C9" w:rsidRDefault="002656C9" w:rsidP="002656C9">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Configured grant overriding due to </w:t>
      </w:r>
      <w:r>
        <w:rPr>
          <w:noProof/>
        </w:rPr>
        <w:t>dynamic grant reception</w:t>
      </w:r>
    </w:p>
    <w:p w14:paraId="74F75845" w14:textId="7BA2EC0F" w:rsidR="0046047D" w:rsidRPr="002E6D8B" w:rsidRDefault="0046047D" w:rsidP="0046047D">
      <w:r>
        <w:t xml:space="preserve">There can be several solutions which can be </w:t>
      </w:r>
      <w:r w:rsidR="00486122">
        <w:t>discussed</w:t>
      </w:r>
      <w:r>
        <w:t xml:space="preserve"> to alleviate some part of this issue (e.g. ignore the received UL grant). However, we believe that no solution would be able to </w:t>
      </w:r>
      <w:r w:rsidR="002656C9">
        <w:t>fully</w:t>
      </w:r>
      <w:r>
        <w:t xml:space="preserve"> </w:t>
      </w:r>
      <w:r w:rsidR="002656C9">
        <w:t xml:space="preserve">address this issue without significantly increasing the </w:t>
      </w:r>
      <w:r w:rsidR="00465053">
        <w:t xml:space="preserve">standards and UE </w:t>
      </w:r>
      <w:r w:rsidR="002656C9">
        <w:t xml:space="preserve">complexity. From our perspective, </w:t>
      </w:r>
      <w:r>
        <w:t xml:space="preserve">exact solution </w:t>
      </w:r>
      <w:r w:rsidR="002656C9">
        <w:t xml:space="preserve">to resolve this issue </w:t>
      </w:r>
      <w:r>
        <w:t>can be left up to UE implementation</w:t>
      </w:r>
      <w:r w:rsidR="002656C9">
        <w:t xml:space="preserve"> (e.g. whether to ignore the grant or not)</w:t>
      </w:r>
      <w:r>
        <w:t>.</w:t>
      </w:r>
      <w:r w:rsidR="002656C9">
        <w:t xml:space="preserve"> We can proceed towards </w:t>
      </w:r>
      <w:r w:rsidR="00486122">
        <w:t xml:space="preserve">keeping </w:t>
      </w:r>
      <w:r w:rsidR="002656C9">
        <w:t>MAC spec</w:t>
      </w:r>
      <w:r w:rsidR="00486122">
        <w:t>ification flexible</w:t>
      </w:r>
      <w:r w:rsidR="002656C9">
        <w:t xml:space="preserve"> which allows UE to take an action accordingly.</w:t>
      </w:r>
    </w:p>
    <w:p w14:paraId="3AA7D56F" w14:textId="1EB02FC4" w:rsidR="002E6D8B" w:rsidRPr="002E6D8B" w:rsidRDefault="002656C9" w:rsidP="002656C9">
      <w:pPr>
        <w:pStyle w:val="Caption"/>
      </w:pPr>
      <w:bookmarkStart w:id="15" w:name="_Toc7621857"/>
      <w:r>
        <w:t xml:space="preserve">Proposal </w:t>
      </w:r>
      <w:r>
        <w:fldChar w:fldCharType="begin"/>
      </w:r>
      <w:r>
        <w:instrText xml:space="preserve"> SEQ Proposal \* ARABIC </w:instrText>
      </w:r>
      <w:r>
        <w:fldChar w:fldCharType="separate"/>
      </w:r>
      <w:r>
        <w:rPr>
          <w:noProof/>
        </w:rPr>
        <w:t>6</w:t>
      </w:r>
      <w:r>
        <w:fldChar w:fldCharType="end"/>
      </w:r>
      <w:r>
        <w:t xml:space="preserve">: Handling of </w:t>
      </w:r>
      <w:r w:rsidR="00465053">
        <w:t>the</w:t>
      </w:r>
      <w:r>
        <w:t xml:space="preserve"> MAC PDU</w:t>
      </w:r>
      <w:r w:rsidR="00486122">
        <w:t>,</w:t>
      </w:r>
      <w:r>
        <w:t xml:space="preserve"> </w:t>
      </w:r>
      <w:r w:rsidR="00E260E3">
        <w:t>for which LBT failed</w:t>
      </w:r>
      <w:r w:rsidR="00465053">
        <w:t xml:space="preserve"> and is overwritten </w:t>
      </w:r>
      <w:r>
        <w:t xml:space="preserve">due to reception of an UL grant </w:t>
      </w:r>
      <w:r w:rsidR="00465053">
        <w:t>indicating new transmission</w:t>
      </w:r>
      <w:r w:rsidR="00486122">
        <w:t>,</w:t>
      </w:r>
      <w:r w:rsidR="00465053">
        <w:t xml:space="preserve"> is left to UE implementation</w:t>
      </w:r>
      <w:bookmarkEnd w:id="15"/>
    </w:p>
    <w:p w14:paraId="32B1F483" w14:textId="77777777" w:rsidR="004668D0" w:rsidRDefault="004668D0" w:rsidP="004668D0">
      <w:pPr>
        <w:pStyle w:val="Heading1"/>
      </w:pPr>
      <w:r>
        <w:t>Conclusions</w:t>
      </w:r>
    </w:p>
    <w:p w14:paraId="6FFE1F93" w14:textId="08DF29E0" w:rsidR="004668D0" w:rsidRDefault="004668D0" w:rsidP="004668D0">
      <w:pPr>
        <w:rPr>
          <w:lang w:eastAsia="ko-KR"/>
        </w:rPr>
      </w:pPr>
      <w:r w:rsidRPr="006D0719">
        <w:rPr>
          <w:lang w:eastAsia="ko-KR"/>
        </w:rPr>
        <w:t xml:space="preserve">The proposals and observations made in this contribution are </w:t>
      </w:r>
      <w:r>
        <w:rPr>
          <w:lang w:eastAsia="ko-KR"/>
        </w:rPr>
        <w:t>listed below:</w:t>
      </w:r>
    </w:p>
    <w:p w14:paraId="4588772F" w14:textId="1B55E474" w:rsidR="006E418A" w:rsidRPr="006E418A" w:rsidRDefault="00B40BDA">
      <w:pPr>
        <w:pStyle w:val="TableofFigures"/>
        <w:tabs>
          <w:tab w:val="right" w:leader="dot" w:pos="9362"/>
        </w:tabs>
        <w:rPr>
          <w:rFonts w:asciiTheme="minorHAnsi" w:eastAsiaTheme="minorEastAsia" w:hAnsiTheme="minorHAnsi" w:cstheme="minorBidi"/>
          <w:b/>
          <w:noProof/>
          <w:kern w:val="0"/>
          <w:sz w:val="22"/>
          <w:szCs w:val="22"/>
          <w:lang w:val="en-US"/>
        </w:rPr>
      </w:pPr>
      <w:r w:rsidRPr="006E418A">
        <w:rPr>
          <w:b/>
          <w:lang w:eastAsia="ko-KR"/>
        </w:rPr>
        <w:fldChar w:fldCharType="begin"/>
      </w:r>
      <w:r w:rsidRPr="006E418A">
        <w:rPr>
          <w:b/>
          <w:lang w:eastAsia="ko-KR"/>
        </w:rPr>
        <w:instrText xml:space="preserve"> TOC \n \h \z \c "Observation" </w:instrText>
      </w:r>
      <w:r w:rsidRPr="006E418A">
        <w:rPr>
          <w:b/>
          <w:lang w:eastAsia="ko-KR"/>
        </w:rPr>
        <w:fldChar w:fldCharType="separate"/>
      </w:r>
      <w:hyperlink w:anchor="_Toc7531494" w:history="1">
        <w:r w:rsidR="006E418A" w:rsidRPr="006E418A">
          <w:rPr>
            <w:rStyle w:val="Hyperlink"/>
            <w:b/>
            <w:i/>
            <w:noProof/>
          </w:rPr>
          <w:t>Observation 1: Configured Grant (CG) resource configuration in NR-U may allocate contiguous set of resources for UL transmission. UE should strive to perform UL transmissions without any time gap once LBT succeeds.</w:t>
        </w:r>
      </w:hyperlink>
    </w:p>
    <w:p w14:paraId="1F51327F" w14:textId="68E2B956" w:rsidR="006E418A" w:rsidRPr="006E418A" w:rsidRDefault="00D7373E">
      <w:pPr>
        <w:pStyle w:val="TableofFigures"/>
        <w:tabs>
          <w:tab w:val="right" w:leader="dot" w:pos="9362"/>
        </w:tabs>
        <w:rPr>
          <w:rFonts w:asciiTheme="minorHAnsi" w:eastAsiaTheme="minorEastAsia" w:hAnsiTheme="minorHAnsi" w:cstheme="minorBidi"/>
          <w:b/>
          <w:noProof/>
          <w:kern w:val="0"/>
          <w:sz w:val="22"/>
          <w:szCs w:val="22"/>
          <w:lang w:val="en-US"/>
        </w:rPr>
      </w:pPr>
      <w:hyperlink w:anchor="_Toc7531495" w:history="1">
        <w:r w:rsidR="006E418A" w:rsidRPr="006E418A">
          <w:rPr>
            <w:rStyle w:val="Hyperlink"/>
            <w:b/>
            <w:i/>
            <w:noProof/>
          </w:rPr>
          <w:t>Observation 2: Fixing association between HARQ process ids and CG resources can lead to time gap between successive UL transmissions from the same UE.</w:t>
        </w:r>
      </w:hyperlink>
    </w:p>
    <w:p w14:paraId="090B059C" w14:textId="097A3C85" w:rsidR="006E418A" w:rsidRPr="006E418A" w:rsidRDefault="00D7373E">
      <w:pPr>
        <w:pStyle w:val="TableofFigures"/>
        <w:tabs>
          <w:tab w:val="right" w:leader="dot" w:pos="9362"/>
        </w:tabs>
        <w:rPr>
          <w:rFonts w:asciiTheme="minorHAnsi" w:eastAsiaTheme="minorEastAsia" w:hAnsiTheme="minorHAnsi" w:cstheme="minorBidi"/>
          <w:b/>
          <w:noProof/>
          <w:kern w:val="0"/>
          <w:sz w:val="22"/>
          <w:szCs w:val="22"/>
          <w:lang w:val="en-US"/>
        </w:rPr>
      </w:pPr>
      <w:hyperlink w:anchor="_Toc7531496" w:history="1">
        <w:r w:rsidR="006E418A" w:rsidRPr="006E418A">
          <w:rPr>
            <w:rStyle w:val="Hyperlink"/>
            <w:b/>
            <w:i/>
            <w:noProof/>
          </w:rPr>
          <w:t>Observation 3: CG retransmission timer length can be determined by amount of time taken by gNB to send HARQ ACK/NACK feedback or dynamic grant. During this time, UE should avoid performing unnecessary retransmission attempts on CG resources to reduce pollution on unlicensed channel.</w:t>
        </w:r>
      </w:hyperlink>
    </w:p>
    <w:p w14:paraId="06E2F27D" w14:textId="4144F583" w:rsidR="006E418A" w:rsidRPr="006E418A" w:rsidRDefault="00D7373E">
      <w:pPr>
        <w:pStyle w:val="TableofFigures"/>
        <w:tabs>
          <w:tab w:val="right" w:leader="dot" w:pos="9362"/>
        </w:tabs>
        <w:rPr>
          <w:rFonts w:asciiTheme="minorHAnsi" w:eastAsiaTheme="minorEastAsia" w:hAnsiTheme="minorHAnsi" w:cstheme="minorBidi"/>
          <w:b/>
          <w:noProof/>
          <w:kern w:val="0"/>
          <w:sz w:val="22"/>
          <w:szCs w:val="22"/>
          <w:lang w:val="en-US"/>
        </w:rPr>
      </w:pPr>
      <w:hyperlink w:anchor="_Toc7531497" w:history="1">
        <w:r w:rsidR="006E418A" w:rsidRPr="006E418A">
          <w:rPr>
            <w:rStyle w:val="Hyperlink"/>
            <w:b/>
            <w:i/>
            <w:noProof/>
          </w:rPr>
          <w:t>Observation 4: NR-U may support multiple active CGs within a BWP, where each CG can be associated to a specific service.</w:t>
        </w:r>
      </w:hyperlink>
    </w:p>
    <w:p w14:paraId="4B7D5D75" w14:textId="3C8D29FC" w:rsidR="006E418A" w:rsidRPr="006E418A" w:rsidRDefault="00D7373E">
      <w:pPr>
        <w:pStyle w:val="TableofFigures"/>
        <w:tabs>
          <w:tab w:val="right" w:leader="dot" w:pos="9362"/>
        </w:tabs>
        <w:rPr>
          <w:rFonts w:asciiTheme="minorHAnsi" w:eastAsiaTheme="minorEastAsia" w:hAnsiTheme="minorHAnsi" w:cstheme="minorBidi"/>
          <w:b/>
          <w:noProof/>
          <w:kern w:val="0"/>
          <w:sz w:val="22"/>
          <w:szCs w:val="22"/>
          <w:lang w:val="en-US"/>
        </w:rPr>
      </w:pPr>
      <w:hyperlink w:anchor="_Toc7531498" w:history="1">
        <w:r w:rsidR="006E418A" w:rsidRPr="006E418A">
          <w:rPr>
            <w:rStyle w:val="Hyperlink"/>
            <w:b/>
            <w:i/>
            <w:noProof/>
          </w:rPr>
          <w:t>Observation 5: NR-U CG may need to support delay sensitive services like URLLC, streaming services along with best effort applications.</w:t>
        </w:r>
      </w:hyperlink>
    </w:p>
    <w:p w14:paraId="23772640" w14:textId="58D88248" w:rsidR="006E418A" w:rsidRPr="006E418A" w:rsidRDefault="00D7373E">
      <w:pPr>
        <w:pStyle w:val="TableofFigures"/>
        <w:tabs>
          <w:tab w:val="right" w:leader="dot" w:pos="9362"/>
        </w:tabs>
        <w:rPr>
          <w:rFonts w:asciiTheme="minorHAnsi" w:eastAsiaTheme="minorEastAsia" w:hAnsiTheme="minorHAnsi" w:cstheme="minorBidi"/>
          <w:b/>
          <w:noProof/>
          <w:kern w:val="0"/>
          <w:sz w:val="22"/>
          <w:szCs w:val="22"/>
          <w:lang w:val="en-US"/>
        </w:rPr>
      </w:pPr>
      <w:hyperlink w:anchor="_Toc7531499" w:history="1">
        <w:r w:rsidR="006E418A" w:rsidRPr="006E418A">
          <w:rPr>
            <w:rStyle w:val="Hyperlink"/>
            <w:b/>
            <w:i/>
            <w:noProof/>
          </w:rPr>
          <w:t>Observation 6: In AUL, UE continues performing HARQ retransmissions until it receives an ACK/NACK feedback, or an uplink grant for the HARQ process. Such a mechanism is feasible for LAA because of network feedback indication using primary licensed carrier.</w:t>
        </w:r>
      </w:hyperlink>
    </w:p>
    <w:p w14:paraId="2D032970" w14:textId="0FF88E86" w:rsidR="006E418A" w:rsidRPr="006E418A" w:rsidRDefault="00D7373E">
      <w:pPr>
        <w:pStyle w:val="TableofFigures"/>
        <w:tabs>
          <w:tab w:val="right" w:leader="dot" w:pos="9362"/>
        </w:tabs>
        <w:rPr>
          <w:rFonts w:asciiTheme="minorHAnsi" w:eastAsiaTheme="minorEastAsia" w:hAnsiTheme="minorHAnsi" w:cstheme="minorBidi"/>
          <w:b/>
          <w:noProof/>
          <w:kern w:val="0"/>
          <w:sz w:val="22"/>
          <w:szCs w:val="22"/>
          <w:lang w:val="en-US"/>
        </w:rPr>
      </w:pPr>
      <w:hyperlink w:anchor="_Toc7531500" w:history="1">
        <w:r w:rsidR="006E418A" w:rsidRPr="006E418A">
          <w:rPr>
            <w:rStyle w:val="Hyperlink"/>
            <w:b/>
            <w:i/>
            <w:noProof/>
          </w:rPr>
          <w:t>Observation 7: For NR-U, network feedback based HARQ process clearing results in extensive pollution in unlicensed channel and significant delay and throughput reduction due to HARQ process buffers being occupied by TBs which are no longer valid.</w:t>
        </w:r>
      </w:hyperlink>
    </w:p>
    <w:p w14:paraId="6D596C66" w14:textId="51301020" w:rsidR="006E418A" w:rsidRPr="006E418A" w:rsidRDefault="00D7373E">
      <w:pPr>
        <w:pStyle w:val="TableofFigures"/>
        <w:tabs>
          <w:tab w:val="right" w:leader="dot" w:pos="9362"/>
        </w:tabs>
        <w:rPr>
          <w:rFonts w:asciiTheme="minorHAnsi" w:eastAsiaTheme="minorEastAsia" w:hAnsiTheme="minorHAnsi" w:cstheme="minorBidi"/>
          <w:b/>
          <w:noProof/>
          <w:kern w:val="0"/>
          <w:sz w:val="22"/>
          <w:szCs w:val="22"/>
          <w:lang w:val="en-US"/>
        </w:rPr>
      </w:pPr>
      <w:hyperlink w:anchor="_Toc7531501" w:history="1">
        <w:r w:rsidR="006E418A" w:rsidRPr="006E418A">
          <w:rPr>
            <w:rStyle w:val="Hyperlink"/>
            <w:b/>
            <w:i/>
            <w:noProof/>
          </w:rPr>
          <w:t>Observation 8: In NR Rel-15, UE assumes ACK at the end of CG timer expiry. CG timer can be a natural choice to restrict number of HARQ retransmissions.</w:t>
        </w:r>
      </w:hyperlink>
    </w:p>
    <w:p w14:paraId="49367D99" w14:textId="77777777" w:rsidR="003A49D3" w:rsidRDefault="00B40BDA" w:rsidP="00B40BDA">
      <w:pPr>
        <w:pStyle w:val="TableofFigures"/>
        <w:tabs>
          <w:tab w:val="right" w:leader="dot" w:pos="9362"/>
        </w:tabs>
        <w:rPr>
          <w:noProof/>
        </w:rPr>
      </w:pPr>
      <w:r w:rsidRPr="006E418A">
        <w:rPr>
          <w:b/>
          <w:lang w:eastAsia="ko-KR"/>
        </w:rPr>
        <w:fldChar w:fldCharType="end"/>
      </w:r>
      <w:r w:rsidRPr="006E418A">
        <w:rPr>
          <w:b/>
          <w:lang w:eastAsia="ko-KR"/>
        </w:rPr>
        <w:fldChar w:fldCharType="begin"/>
      </w:r>
      <w:r w:rsidRPr="006E418A">
        <w:rPr>
          <w:b/>
          <w:lang w:eastAsia="ko-KR"/>
        </w:rPr>
        <w:instrText xml:space="preserve"> TOC \n \h \z \c "Proposal" </w:instrText>
      </w:r>
      <w:r w:rsidRPr="006E418A">
        <w:rPr>
          <w:b/>
          <w:lang w:eastAsia="ko-KR"/>
        </w:rPr>
        <w:fldChar w:fldCharType="separate"/>
      </w:r>
    </w:p>
    <w:bookmarkStart w:id="16" w:name="_Hlk7621882"/>
    <w:p w14:paraId="4A7D34B1" w14:textId="3DDC82D3" w:rsidR="003A49D3" w:rsidRPr="003A49D3" w:rsidRDefault="003A49D3">
      <w:pPr>
        <w:pStyle w:val="TableofFigures"/>
        <w:tabs>
          <w:tab w:val="right" w:leader="dot" w:pos="9362"/>
        </w:tabs>
        <w:rPr>
          <w:rFonts w:asciiTheme="minorHAnsi" w:eastAsiaTheme="minorEastAsia" w:hAnsiTheme="minorHAnsi" w:cstheme="minorBidi"/>
          <w:b/>
          <w:noProof/>
          <w:kern w:val="0"/>
          <w:sz w:val="22"/>
          <w:szCs w:val="22"/>
          <w:lang w:val="en-US"/>
        </w:rPr>
      </w:pPr>
      <w:r w:rsidRPr="003A49D3">
        <w:rPr>
          <w:rStyle w:val="Hyperlink"/>
          <w:b/>
          <w:noProof/>
        </w:rPr>
        <w:fldChar w:fldCharType="begin"/>
      </w:r>
      <w:r w:rsidRPr="003A49D3">
        <w:rPr>
          <w:rStyle w:val="Hyperlink"/>
          <w:b/>
          <w:noProof/>
        </w:rPr>
        <w:instrText xml:space="preserve"> </w:instrText>
      </w:r>
      <w:r w:rsidRPr="003A49D3">
        <w:rPr>
          <w:b/>
          <w:noProof/>
        </w:rPr>
        <w:instrText>HYPERLINK \l "_Toc7621852"</w:instrText>
      </w:r>
      <w:r w:rsidRPr="003A49D3">
        <w:rPr>
          <w:rStyle w:val="Hyperlink"/>
          <w:b/>
          <w:noProof/>
        </w:rPr>
        <w:instrText xml:space="preserve"> </w:instrText>
      </w:r>
      <w:r w:rsidRPr="003A49D3">
        <w:rPr>
          <w:rStyle w:val="Hyperlink"/>
          <w:b/>
          <w:noProof/>
        </w:rPr>
        <w:fldChar w:fldCharType="separate"/>
      </w:r>
      <w:r w:rsidRPr="003A49D3">
        <w:rPr>
          <w:rStyle w:val="Hyperlink"/>
          <w:b/>
          <w:noProof/>
        </w:rPr>
        <w:t>Proposal 1: HARQ process id selection is based on UE implementation like AUL</w:t>
      </w:r>
      <w:r w:rsidRPr="003A49D3">
        <w:rPr>
          <w:rStyle w:val="Hyperlink"/>
          <w:b/>
          <w:noProof/>
        </w:rPr>
        <w:fldChar w:fldCharType="end"/>
      </w:r>
    </w:p>
    <w:p w14:paraId="405B4989" w14:textId="6D817C7B" w:rsidR="003A49D3" w:rsidRPr="003A49D3" w:rsidRDefault="00D7373E">
      <w:pPr>
        <w:pStyle w:val="TableofFigures"/>
        <w:tabs>
          <w:tab w:val="right" w:leader="dot" w:pos="9362"/>
        </w:tabs>
        <w:rPr>
          <w:rFonts w:asciiTheme="minorHAnsi" w:eastAsiaTheme="minorEastAsia" w:hAnsiTheme="minorHAnsi" w:cstheme="minorBidi"/>
          <w:b/>
          <w:noProof/>
          <w:kern w:val="0"/>
          <w:sz w:val="22"/>
          <w:szCs w:val="22"/>
          <w:lang w:val="en-US"/>
        </w:rPr>
      </w:pPr>
      <w:hyperlink w:anchor="_Toc7621853" w:history="1">
        <w:r w:rsidR="003A49D3" w:rsidRPr="003A49D3">
          <w:rPr>
            <w:rStyle w:val="Hyperlink"/>
            <w:b/>
            <w:noProof/>
          </w:rPr>
          <w:t>Proposal 2: UE is not allowed to select an HARQ process for CG transmission and toggle NDI autonomously when CG retransmission timer is running for the given HARQ process</w:t>
        </w:r>
      </w:hyperlink>
    </w:p>
    <w:p w14:paraId="0920E171" w14:textId="35D0F779" w:rsidR="003A49D3" w:rsidRPr="003A49D3" w:rsidRDefault="00D7373E">
      <w:pPr>
        <w:pStyle w:val="TableofFigures"/>
        <w:tabs>
          <w:tab w:val="right" w:leader="dot" w:pos="9362"/>
        </w:tabs>
        <w:rPr>
          <w:rFonts w:asciiTheme="minorHAnsi" w:eastAsiaTheme="minorEastAsia" w:hAnsiTheme="minorHAnsi" w:cstheme="minorBidi"/>
          <w:b/>
          <w:noProof/>
          <w:kern w:val="0"/>
          <w:sz w:val="22"/>
          <w:szCs w:val="22"/>
          <w:lang w:val="en-US"/>
        </w:rPr>
      </w:pPr>
      <w:hyperlink w:anchor="_Toc7621854" w:history="1">
        <w:r w:rsidR="003A49D3" w:rsidRPr="003A49D3">
          <w:rPr>
            <w:rStyle w:val="Hyperlink"/>
            <w:b/>
            <w:noProof/>
          </w:rPr>
          <w:t>Proposal 3: CG retransmission timer is stopped at the reception of HARQ feedback or UL grant for the same HARQ process</w:t>
        </w:r>
      </w:hyperlink>
    </w:p>
    <w:p w14:paraId="4D756944" w14:textId="5E386BFF" w:rsidR="003A49D3" w:rsidRPr="003A49D3" w:rsidRDefault="00D7373E">
      <w:pPr>
        <w:pStyle w:val="TableofFigures"/>
        <w:tabs>
          <w:tab w:val="right" w:leader="dot" w:pos="9362"/>
        </w:tabs>
        <w:rPr>
          <w:rFonts w:asciiTheme="minorHAnsi" w:eastAsiaTheme="minorEastAsia" w:hAnsiTheme="minorHAnsi" w:cstheme="minorBidi"/>
          <w:b/>
          <w:noProof/>
          <w:kern w:val="0"/>
          <w:sz w:val="22"/>
          <w:szCs w:val="22"/>
          <w:lang w:val="en-US"/>
        </w:rPr>
      </w:pPr>
      <w:hyperlink w:anchor="_Toc7621855" w:history="1">
        <w:r w:rsidR="003A49D3" w:rsidRPr="003A49D3">
          <w:rPr>
            <w:rStyle w:val="Hyperlink"/>
            <w:b/>
            <w:noProof/>
          </w:rPr>
          <w:t>Proposal 4: RAN2 to discuss mechanism to restrict number of HARQ retransmissions for NR-U CG</w:t>
        </w:r>
      </w:hyperlink>
    </w:p>
    <w:p w14:paraId="2C543EE7" w14:textId="0A116D92" w:rsidR="003A49D3" w:rsidRPr="003A49D3" w:rsidRDefault="00D7373E">
      <w:pPr>
        <w:pStyle w:val="TableofFigures"/>
        <w:tabs>
          <w:tab w:val="right" w:leader="dot" w:pos="9362"/>
        </w:tabs>
        <w:rPr>
          <w:rFonts w:asciiTheme="minorHAnsi" w:eastAsiaTheme="minorEastAsia" w:hAnsiTheme="minorHAnsi" w:cstheme="minorBidi"/>
          <w:b/>
          <w:noProof/>
          <w:kern w:val="0"/>
          <w:sz w:val="22"/>
          <w:szCs w:val="22"/>
          <w:lang w:val="en-US"/>
        </w:rPr>
      </w:pPr>
      <w:hyperlink w:anchor="_Toc7621856" w:history="1">
        <w:r w:rsidR="003A49D3" w:rsidRPr="003A49D3">
          <w:rPr>
            <w:rStyle w:val="Hyperlink"/>
            <w:b/>
            <w:noProof/>
          </w:rPr>
          <w:t>Proposal 5: UE performs HARQ retransmissions for an HARQ process until CG timer is running. UE assumes ACK for the HARQ process at CG timer expiry.</w:t>
        </w:r>
      </w:hyperlink>
    </w:p>
    <w:p w14:paraId="36FDFEA8" w14:textId="30265A42" w:rsidR="003A49D3" w:rsidRPr="003A49D3" w:rsidRDefault="00D7373E">
      <w:pPr>
        <w:pStyle w:val="TableofFigures"/>
        <w:tabs>
          <w:tab w:val="right" w:leader="dot" w:pos="9362"/>
        </w:tabs>
        <w:rPr>
          <w:rFonts w:asciiTheme="minorHAnsi" w:eastAsiaTheme="minorEastAsia" w:hAnsiTheme="minorHAnsi" w:cstheme="minorBidi"/>
          <w:b/>
          <w:noProof/>
          <w:kern w:val="0"/>
          <w:sz w:val="22"/>
          <w:szCs w:val="22"/>
          <w:lang w:val="en-US"/>
        </w:rPr>
      </w:pPr>
      <w:hyperlink w:anchor="_Toc7621857" w:history="1">
        <w:r w:rsidR="003A49D3" w:rsidRPr="003A49D3">
          <w:rPr>
            <w:rStyle w:val="Hyperlink"/>
            <w:b/>
            <w:noProof/>
          </w:rPr>
          <w:t>Proposal 6: Handling of the MAC PDU, for which LBT failed and is overwritten due to reception of an UL grant indicating new transmission, is left to UE implementation</w:t>
        </w:r>
      </w:hyperlink>
    </w:p>
    <w:bookmarkEnd w:id="16"/>
    <w:p w14:paraId="24CF4B23" w14:textId="16563AA5" w:rsidR="00384C77" w:rsidRPr="00384C77" w:rsidRDefault="00B40BDA" w:rsidP="00B40BDA">
      <w:pPr>
        <w:rPr>
          <w:b/>
          <w:lang w:eastAsia="ko-KR"/>
        </w:rPr>
      </w:pPr>
      <w:r w:rsidRPr="006E418A">
        <w:rPr>
          <w:b/>
          <w:lang w:eastAsia="ko-KR"/>
        </w:rPr>
        <w:fldChar w:fldCharType="end"/>
      </w:r>
    </w:p>
    <w:p w14:paraId="0A78A667" w14:textId="77777777" w:rsidR="004668D0" w:rsidRDefault="004668D0" w:rsidP="004668D0">
      <w:pPr>
        <w:pStyle w:val="Heading1"/>
        <w:rPr>
          <w:lang w:eastAsia="ko-KR"/>
        </w:rPr>
      </w:pPr>
      <w:r>
        <w:rPr>
          <w:lang w:eastAsia="ko-KR"/>
        </w:rPr>
        <w:lastRenderedPageBreak/>
        <w:t>References</w:t>
      </w:r>
    </w:p>
    <w:p w14:paraId="51948280" w14:textId="35252B48" w:rsidR="004668D0" w:rsidRDefault="004668D0" w:rsidP="004668D0">
      <w:pPr>
        <w:rPr>
          <w:lang w:eastAsia="ko-KR"/>
        </w:rPr>
      </w:pPr>
      <w:bookmarkStart w:id="17" w:name="Ref1"/>
      <w:r>
        <w:rPr>
          <w:lang w:eastAsia="ko-KR"/>
        </w:rPr>
        <w:t>[1]</w:t>
      </w:r>
      <w:bookmarkEnd w:id="17"/>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DFA2F10" w14:textId="30279F3C" w:rsidR="00DA64AB" w:rsidRDefault="00DA64AB" w:rsidP="004668D0">
      <w:pPr>
        <w:rPr>
          <w:lang w:eastAsia="ko-KR"/>
        </w:rPr>
      </w:pPr>
      <w:r>
        <w:rPr>
          <w:lang w:eastAsia="ko-KR"/>
        </w:rPr>
        <w:t xml:space="preserve">[2] </w:t>
      </w:r>
      <w:r w:rsidR="00C41C44" w:rsidRPr="00C41C44">
        <w:rPr>
          <w:lang w:eastAsia="ko-KR"/>
        </w:rPr>
        <w:t>R</w:t>
      </w:r>
      <w:r w:rsidR="00AD5377">
        <w:rPr>
          <w:lang w:eastAsia="ko-KR"/>
        </w:rPr>
        <w:t>2</w:t>
      </w:r>
      <w:r w:rsidR="00C41C44" w:rsidRPr="00C41C44">
        <w:rPr>
          <w:lang w:eastAsia="ko-KR"/>
        </w:rPr>
        <w:t>-190</w:t>
      </w:r>
      <w:r w:rsidR="00AD5377">
        <w:rPr>
          <w:lang w:eastAsia="ko-KR"/>
        </w:rPr>
        <w:t>5</w:t>
      </w:r>
      <w:r w:rsidR="00C41C44" w:rsidRPr="00C41C44">
        <w:rPr>
          <w:lang w:eastAsia="ko-KR"/>
        </w:rPr>
        <w:t>xxx, “</w:t>
      </w:r>
      <w:r w:rsidR="00AD5377" w:rsidRPr="00AD5377">
        <w:rPr>
          <w:lang w:eastAsia="ko-KR"/>
        </w:rPr>
        <w:t>Report of 3GPP TSG RAN2#105bis meeting, Xi'an, China</w:t>
      </w:r>
      <w:r w:rsidR="00C41C44" w:rsidRPr="00C41C44">
        <w:rPr>
          <w:lang w:eastAsia="ko-KR"/>
        </w:rPr>
        <w:t>”, MCC</w:t>
      </w:r>
    </w:p>
    <w:p w14:paraId="1A7E2F6E" w14:textId="759BDBB1" w:rsidR="003E2453" w:rsidRPr="004668D0" w:rsidRDefault="003E2453" w:rsidP="004668D0"/>
    <w:sectPr w:rsidR="003E2453" w:rsidRPr="004668D0"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B0C22" w14:textId="77777777" w:rsidR="005534E6" w:rsidRDefault="005534E6" w:rsidP="00F53A74">
      <w:r>
        <w:separator/>
      </w:r>
    </w:p>
    <w:p w14:paraId="5B6D5ADA" w14:textId="77777777" w:rsidR="005534E6" w:rsidRDefault="005534E6" w:rsidP="00F53A74"/>
  </w:endnote>
  <w:endnote w:type="continuationSeparator" w:id="0">
    <w:p w14:paraId="696C05DE" w14:textId="77777777" w:rsidR="005534E6" w:rsidRDefault="005534E6" w:rsidP="00F53A74">
      <w:r>
        <w:continuationSeparator/>
      </w:r>
    </w:p>
    <w:p w14:paraId="7029FCD2" w14:textId="77777777" w:rsidR="005534E6" w:rsidRDefault="005534E6" w:rsidP="00F53A74"/>
  </w:endnote>
  <w:endnote w:type="continuationNotice" w:id="1">
    <w:p w14:paraId="28C97F8F" w14:textId="77777777" w:rsidR="005534E6" w:rsidRDefault="005534E6" w:rsidP="00F53A74"/>
    <w:p w14:paraId="552F5522" w14:textId="77777777" w:rsidR="005534E6" w:rsidRDefault="005534E6"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2CE7" w:rsidRDefault="00A62CE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2CE7" w:rsidRDefault="00A62CE7" w:rsidP="00F53A74">
    <w:pPr>
      <w:pStyle w:val="Footer"/>
    </w:pPr>
  </w:p>
  <w:p w14:paraId="164FD115" w14:textId="77777777" w:rsidR="00A62CE7" w:rsidRDefault="00A62CE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A62CE7" w:rsidRDefault="00A62CE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90ACF" w14:textId="77777777" w:rsidR="005534E6" w:rsidRDefault="005534E6" w:rsidP="00F53A74">
      <w:r>
        <w:separator/>
      </w:r>
    </w:p>
    <w:p w14:paraId="4B5064B7" w14:textId="77777777" w:rsidR="005534E6" w:rsidRDefault="005534E6" w:rsidP="00F53A74"/>
  </w:footnote>
  <w:footnote w:type="continuationSeparator" w:id="0">
    <w:p w14:paraId="0BCBE50F" w14:textId="77777777" w:rsidR="005534E6" w:rsidRDefault="005534E6" w:rsidP="00F53A74">
      <w:r>
        <w:continuationSeparator/>
      </w:r>
    </w:p>
    <w:p w14:paraId="281F2427" w14:textId="77777777" w:rsidR="005534E6" w:rsidRDefault="005534E6" w:rsidP="00F53A74"/>
  </w:footnote>
  <w:footnote w:type="continuationNotice" w:id="1">
    <w:p w14:paraId="0D73F8A2" w14:textId="77777777" w:rsidR="005534E6" w:rsidRDefault="005534E6" w:rsidP="00F53A74"/>
    <w:p w14:paraId="351607D7" w14:textId="77777777" w:rsidR="005534E6" w:rsidRDefault="005534E6"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0A93"/>
    <w:multiLevelType w:val="hybridMultilevel"/>
    <w:tmpl w:val="B2F4F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5151"/>
    <w:multiLevelType w:val="multilevel"/>
    <w:tmpl w:val="AADC2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27107F5"/>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F00B7"/>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E3A1AC3"/>
    <w:multiLevelType w:val="hybridMultilevel"/>
    <w:tmpl w:val="F16C4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0146DC0"/>
    <w:multiLevelType w:val="hybridMultilevel"/>
    <w:tmpl w:val="9BC21240"/>
    <w:lvl w:ilvl="0" w:tplc="0409000F">
      <w:start w:val="1"/>
      <w:numFmt w:val="bullet"/>
      <w:pStyle w:val="Agreement"/>
      <w:lvlText w:val=""/>
      <w:lvlJc w:val="left"/>
      <w:pPr>
        <w:tabs>
          <w:tab w:val="num" w:pos="450"/>
        </w:tabs>
        <w:ind w:left="450" w:hanging="360"/>
      </w:pPr>
      <w:rPr>
        <w:rFonts w:ascii="Symbol" w:hAnsi="Symbol" w:hint="default"/>
        <w:b/>
        <w:i w:val="0"/>
        <w:color w:val="auto"/>
        <w:sz w:val="22"/>
      </w:rPr>
    </w:lvl>
    <w:lvl w:ilvl="1" w:tplc="D602B2F4">
      <w:start w:val="1"/>
      <w:numFmt w:val="bullet"/>
      <w:lvlText w:val="o"/>
      <w:lvlJc w:val="left"/>
      <w:pPr>
        <w:tabs>
          <w:tab w:val="num" w:pos="271"/>
        </w:tabs>
        <w:ind w:left="271" w:hanging="360"/>
      </w:pPr>
      <w:rPr>
        <w:rFonts w:ascii="Courier New" w:hAnsi="Courier New" w:cs="Courier New" w:hint="default"/>
      </w:rPr>
    </w:lvl>
    <w:lvl w:ilvl="2" w:tplc="0409001B">
      <w:start w:val="1"/>
      <w:numFmt w:val="bullet"/>
      <w:lvlText w:val=""/>
      <w:lvlJc w:val="left"/>
      <w:pPr>
        <w:tabs>
          <w:tab w:val="num" w:pos="991"/>
        </w:tabs>
        <w:ind w:left="991" w:hanging="360"/>
      </w:pPr>
      <w:rPr>
        <w:rFonts w:ascii="Wingdings" w:hAnsi="Wingdings" w:hint="default"/>
      </w:rPr>
    </w:lvl>
    <w:lvl w:ilvl="3" w:tplc="0409000F" w:tentative="1">
      <w:start w:val="1"/>
      <w:numFmt w:val="bullet"/>
      <w:lvlText w:val=""/>
      <w:lvlJc w:val="left"/>
      <w:pPr>
        <w:tabs>
          <w:tab w:val="num" w:pos="1711"/>
        </w:tabs>
        <w:ind w:left="1711" w:hanging="360"/>
      </w:pPr>
      <w:rPr>
        <w:rFonts w:ascii="Symbol" w:hAnsi="Symbol" w:hint="default"/>
      </w:rPr>
    </w:lvl>
    <w:lvl w:ilvl="4" w:tplc="04090019" w:tentative="1">
      <w:start w:val="1"/>
      <w:numFmt w:val="bullet"/>
      <w:lvlText w:val="o"/>
      <w:lvlJc w:val="left"/>
      <w:pPr>
        <w:tabs>
          <w:tab w:val="num" w:pos="2431"/>
        </w:tabs>
        <w:ind w:left="2431" w:hanging="360"/>
      </w:pPr>
      <w:rPr>
        <w:rFonts w:ascii="Courier New" w:hAnsi="Courier New" w:cs="Courier New" w:hint="default"/>
      </w:rPr>
    </w:lvl>
    <w:lvl w:ilvl="5" w:tplc="0409001B" w:tentative="1">
      <w:start w:val="1"/>
      <w:numFmt w:val="bullet"/>
      <w:lvlText w:val=""/>
      <w:lvlJc w:val="left"/>
      <w:pPr>
        <w:tabs>
          <w:tab w:val="num" w:pos="3151"/>
        </w:tabs>
        <w:ind w:left="3151" w:hanging="360"/>
      </w:pPr>
      <w:rPr>
        <w:rFonts w:ascii="Wingdings" w:hAnsi="Wingdings" w:hint="default"/>
      </w:rPr>
    </w:lvl>
    <w:lvl w:ilvl="6" w:tplc="0409000F" w:tentative="1">
      <w:start w:val="1"/>
      <w:numFmt w:val="bullet"/>
      <w:lvlText w:val=""/>
      <w:lvlJc w:val="left"/>
      <w:pPr>
        <w:tabs>
          <w:tab w:val="num" w:pos="3871"/>
        </w:tabs>
        <w:ind w:left="3871" w:hanging="360"/>
      </w:pPr>
      <w:rPr>
        <w:rFonts w:ascii="Symbol" w:hAnsi="Symbol" w:hint="default"/>
      </w:rPr>
    </w:lvl>
    <w:lvl w:ilvl="7" w:tplc="04090019" w:tentative="1">
      <w:start w:val="1"/>
      <w:numFmt w:val="bullet"/>
      <w:lvlText w:val="o"/>
      <w:lvlJc w:val="left"/>
      <w:pPr>
        <w:tabs>
          <w:tab w:val="num" w:pos="4591"/>
        </w:tabs>
        <w:ind w:left="4591" w:hanging="360"/>
      </w:pPr>
      <w:rPr>
        <w:rFonts w:ascii="Courier New" w:hAnsi="Courier New" w:cs="Courier New" w:hint="default"/>
      </w:rPr>
    </w:lvl>
    <w:lvl w:ilvl="8" w:tplc="0409001B" w:tentative="1">
      <w:start w:val="1"/>
      <w:numFmt w:val="bullet"/>
      <w:lvlText w:val=""/>
      <w:lvlJc w:val="left"/>
      <w:pPr>
        <w:tabs>
          <w:tab w:val="num" w:pos="5311"/>
        </w:tabs>
        <w:ind w:left="5311" w:hanging="360"/>
      </w:pPr>
      <w:rPr>
        <w:rFonts w:ascii="Wingdings" w:hAnsi="Wingdings" w:hint="default"/>
      </w:rPr>
    </w:lvl>
  </w:abstractNum>
  <w:abstractNum w:abstractNumId="27"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D1FCD"/>
    <w:multiLevelType w:val="hybridMultilevel"/>
    <w:tmpl w:val="41945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34"/>
  </w:num>
  <w:num w:numId="3">
    <w:abstractNumId w:val="36"/>
  </w:num>
  <w:num w:numId="4">
    <w:abstractNumId w:val="18"/>
  </w:num>
  <w:num w:numId="5">
    <w:abstractNumId w:val="17"/>
  </w:num>
  <w:num w:numId="6">
    <w:abstractNumId w:val="20"/>
  </w:num>
  <w:num w:numId="7">
    <w:abstractNumId w:val="13"/>
  </w:num>
  <w:num w:numId="8">
    <w:abstractNumId w:val="15"/>
  </w:num>
  <w:num w:numId="9">
    <w:abstractNumId w:val="22"/>
  </w:num>
  <w:num w:numId="10">
    <w:abstractNumId w:val="14"/>
  </w:num>
  <w:num w:numId="11">
    <w:abstractNumId w:val="1"/>
  </w:num>
  <w:num w:numId="12">
    <w:abstractNumId w:val="3"/>
  </w:num>
  <w:num w:numId="13">
    <w:abstractNumId w:val="29"/>
  </w:num>
  <w:num w:numId="14">
    <w:abstractNumId w:val="25"/>
  </w:num>
  <w:num w:numId="15">
    <w:abstractNumId w:val="33"/>
  </w:num>
  <w:num w:numId="16">
    <w:abstractNumId w:val="30"/>
  </w:num>
  <w:num w:numId="17">
    <w:abstractNumId w:val="19"/>
  </w:num>
  <w:num w:numId="18">
    <w:abstractNumId w:val="12"/>
  </w:num>
  <w:num w:numId="19">
    <w:abstractNumId w:val="21"/>
  </w:num>
  <w:num w:numId="20">
    <w:abstractNumId w:val="23"/>
  </w:num>
  <w:num w:numId="21">
    <w:abstractNumId w:val="7"/>
  </w:num>
  <w:num w:numId="22">
    <w:abstractNumId w:val="24"/>
  </w:num>
  <w:num w:numId="23">
    <w:abstractNumId w:val="32"/>
  </w:num>
  <w:num w:numId="24">
    <w:abstractNumId w:val="1"/>
  </w:num>
  <w:num w:numId="25">
    <w:abstractNumId w:val="5"/>
  </w:num>
  <w:num w:numId="26">
    <w:abstractNumId w:val="28"/>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1"/>
  </w:num>
  <w:num w:numId="31">
    <w:abstractNumId w:val="4"/>
  </w:num>
  <w:num w:numId="32">
    <w:abstractNumId w:val="11"/>
  </w:num>
  <w:num w:numId="33">
    <w:abstractNumId w:val="6"/>
  </w:num>
  <w:num w:numId="34">
    <w:abstractNumId w:val="8"/>
  </w:num>
  <w:num w:numId="35">
    <w:abstractNumId w:val="16"/>
  </w:num>
  <w:num w:numId="36">
    <w:abstractNumId w:val="27"/>
  </w:num>
  <w:num w:numId="37">
    <w:abstractNumId w:val="26"/>
  </w:num>
  <w:num w:numId="38">
    <w:abstractNumId w:val="0"/>
  </w:num>
  <w:num w:numId="39">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9CE"/>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CC"/>
    <w:rsid w:val="00021735"/>
    <w:rsid w:val="00021E78"/>
    <w:rsid w:val="0002202D"/>
    <w:rsid w:val="00022098"/>
    <w:rsid w:val="0002212B"/>
    <w:rsid w:val="00022517"/>
    <w:rsid w:val="0002256B"/>
    <w:rsid w:val="00022869"/>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D3E"/>
    <w:rsid w:val="00027E9E"/>
    <w:rsid w:val="00027EBD"/>
    <w:rsid w:val="0003055F"/>
    <w:rsid w:val="00030C20"/>
    <w:rsid w:val="00030CB5"/>
    <w:rsid w:val="000310BE"/>
    <w:rsid w:val="000311EE"/>
    <w:rsid w:val="00031216"/>
    <w:rsid w:val="00031578"/>
    <w:rsid w:val="00031619"/>
    <w:rsid w:val="00031CBE"/>
    <w:rsid w:val="00031D12"/>
    <w:rsid w:val="00031E8E"/>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37C95"/>
    <w:rsid w:val="0004017E"/>
    <w:rsid w:val="000401DC"/>
    <w:rsid w:val="00040332"/>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419"/>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C27"/>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60"/>
    <w:rsid w:val="000B27AA"/>
    <w:rsid w:val="000B2B0E"/>
    <w:rsid w:val="000B2B69"/>
    <w:rsid w:val="000B2F76"/>
    <w:rsid w:val="000B2F82"/>
    <w:rsid w:val="000B3798"/>
    <w:rsid w:val="000B388A"/>
    <w:rsid w:val="000B399A"/>
    <w:rsid w:val="000B3A4A"/>
    <w:rsid w:val="000B3B21"/>
    <w:rsid w:val="000B3B9C"/>
    <w:rsid w:val="000B3FBA"/>
    <w:rsid w:val="000B436B"/>
    <w:rsid w:val="000B4437"/>
    <w:rsid w:val="000B4647"/>
    <w:rsid w:val="000B46E8"/>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549"/>
    <w:rsid w:val="000C194B"/>
    <w:rsid w:val="000C1E30"/>
    <w:rsid w:val="000C1E3F"/>
    <w:rsid w:val="000C20E1"/>
    <w:rsid w:val="000C279E"/>
    <w:rsid w:val="000C2BA0"/>
    <w:rsid w:val="000C2E60"/>
    <w:rsid w:val="000C315E"/>
    <w:rsid w:val="000C37FB"/>
    <w:rsid w:val="000C3F0F"/>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137"/>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5E89"/>
    <w:rsid w:val="000E63DD"/>
    <w:rsid w:val="000E65A2"/>
    <w:rsid w:val="000E6779"/>
    <w:rsid w:val="000E6B37"/>
    <w:rsid w:val="000E6C94"/>
    <w:rsid w:val="000E71A7"/>
    <w:rsid w:val="000E79FE"/>
    <w:rsid w:val="000E7F0B"/>
    <w:rsid w:val="000F101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086"/>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01"/>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70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2C0"/>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19D"/>
    <w:rsid w:val="00152427"/>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470"/>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963"/>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91A"/>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4F4A"/>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0DB"/>
    <w:rsid w:val="001F5289"/>
    <w:rsid w:val="001F549F"/>
    <w:rsid w:val="001F55B5"/>
    <w:rsid w:val="001F5A1C"/>
    <w:rsid w:val="001F5AC1"/>
    <w:rsid w:val="001F5B9E"/>
    <w:rsid w:val="001F6092"/>
    <w:rsid w:val="001F6441"/>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EDF"/>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07A23"/>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A84"/>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030"/>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711"/>
    <w:rsid w:val="0025180B"/>
    <w:rsid w:val="00251914"/>
    <w:rsid w:val="00251944"/>
    <w:rsid w:val="00251E7B"/>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6C9"/>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5FD"/>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3"/>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1AE7"/>
    <w:rsid w:val="002828AB"/>
    <w:rsid w:val="002829C6"/>
    <w:rsid w:val="0028321B"/>
    <w:rsid w:val="002832B4"/>
    <w:rsid w:val="00283D94"/>
    <w:rsid w:val="00284289"/>
    <w:rsid w:val="002844D9"/>
    <w:rsid w:val="00284575"/>
    <w:rsid w:val="00284672"/>
    <w:rsid w:val="002849D4"/>
    <w:rsid w:val="00284EAA"/>
    <w:rsid w:val="0028532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66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0FB0"/>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040"/>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0A7"/>
    <w:rsid w:val="002D525F"/>
    <w:rsid w:val="002D5B2B"/>
    <w:rsid w:val="002D5B58"/>
    <w:rsid w:val="002D5BE7"/>
    <w:rsid w:val="002D60AD"/>
    <w:rsid w:val="002D61B0"/>
    <w:rsid w:val="002D61F8"/>
    <w:rsid w:val="002D667F"/>
    <w:rsid w:val="002D68C7"/>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AEF"/>
    <w:rsid w:val="002E3DA8"/>
    <w:rsid w:val="002E3F8B"/>
    <w:rsid w:val="002E48A6"/>
    <w:rsid w:val="002E4D45"/>
    <w:rsid w:val="002E527E"/>
    <w:rsid w:val="002E5464"/>
    <w:rsid w:val="002E5A56"/>
    <w:rsid w:val="002E5B24"/>
    <w:rsid w:val="002E658A"/>
    <w:rsid w:val="002E6A01"/>
    <w:rsid w:val="002E6D8B"/>
    <w:rsid w:val="002E6DB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2DB"/>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5D2"/>
    <w:rsid w:val="00365F58"/>
    <w:rsid w:val="0036692D"/>
    <w:rsid w:val="00366A96"/>
    <w:rsid w:val="00366F4E"/>
    <w:rsid w:val="003677D6"/>
    <w:rsid w:val="003677E2"/>
    <w:rsid w:val="00367A57"/>
    <w:rsid w:val="00370134"/>
    <w:rsid w:val="0037041E"/>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A45"/>
    <w:rsid w:val="00382E4B"/>
    <w:rsid w:val="00382E68"/>
    <w:rsid w:val="00383C15"/>
    <w:rsid w:val="00383DDF"/>
    <w:rsid w:val="00383FC8"/>
    <w:rsid w:val="00384556"/>
    <w:rsid w:val="00384C77"/>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9D3"/>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95"/>
    <w:rsid w:val="003B10B1"/>
    <w:rsid w:val="003B12E9"/>
    <w:rsid w:val="003B12F6"/>
    <w:rsid w:val="003B133D"/>
    <w:rsid w:val="003B1A01"/>
    <w:rsid w:val="003B2029"/>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E7F7A"/>
    <w:rsid w:val="003F051B"/>
    <w:rsid w:val="003F0651"/>
    <w:rsid w:val="003F08F9"/>
    <w:rsid w:val="003F0907"/>
    <w:rsid w:val="003F0DCB"/>
    <w:rsid w:val="003F0DDF"/>
    <w:rsid w:val="003F0EEB"/>
    <w:rsid w:val="003F0FAF"/>
    <w:rsid w:val="003F1162"/>
    <w:rsid w:val="003F116C"/>
    <w:rsid w:val="003F1852"/>
    <w:rsid w:val="003F19AE"/>
    <w:rsid w:val="003F294A"/>
    <w:rsid w:val="003F2A87"/>
    <w:rsid w:val="003F2BCD"/>
    <w:rsid w:val="003F327A"/>
    <w:rsid w:val="003F329D"/>
    <w:rsid w:val="003F359C"/>
    <w:rsid w:val="003F3673"/>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0F93"/>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21"/>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47D"/>
    <w:rsid w:val="004609B4"/>
    <w:rsid w:val="00460AFC"/>
    <w:rsid w:val="00460D8F"/>
    <w:rsid w:val="0046121A"/>
    <w:rsid w:val="00461513"/>
    <w:rsid w:val="00461CBA"/>
    <w:rsid w:val="00461D8A"/>
    <w:rsid w:val="00462061"/>
    <w:rsid w:val="004620A8"/>
    <w:rsid w:val="00462319"/>
    <w:rsid w:val="00462BC1"/>
    <w:rsid w:val="0046364B"/>
    <w:rsid w:val="0046380C"/>
    <w:rsid w:val="00463ACE"/>
    <w:rsid w:val="00463D1B"/>
    <w:rsid w:val="00463DC7"/>
    <w:rsid w:val="00464483"/>
    <w:rsid w:val="004644A4"/>
    <w:rsid w:val="00464563"/>
    <w:rsid w:val="0046491E"/>
    <w:rsid w:val="00464A8F"/>
    <w:rsid w:val="00465053"/>
    <w:rsid w:val="004653EE"/>
    <w:rsid w:val="0046596E"/>
    <w:rsid w:val="00465DF8"/>
    <w:rsid w:val="00465E2F"/>
    <w:rsid w:val="0046641D"/>
    <w:rsid w:val="00466478"/>
    <w:rsid w:val="00466839"/>
    <w:rsid w:val="004668D0"/>
    <w:rsid w:val="00466AB5"/>
    <w:rsid w:val="00466BAF"/>
    <w:rsid w:val="00466E0F"/>
    <w:rsid w:val="00466F8F"/>
    <w:rsid w:val="00466FDE"/>
    <w:rsid w:val="00467433"/>
    <w:rsid w:val="00467AE5"/>
    <w:rsid w:val="00467F58"/>
    <w:rsid w:val="004701B6"/>
    <w:rsid w:val="0047052B"/>
    <w:rsid w:val="004707EB"/>
    <w:rsid w:val="00470ACA"/>
    <w:rsid w:val="00470B24"/>
    <w:rsid w:val="00470D90"/>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122"/>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5EF"/>
    <w:rsid w:val="004B1AD8"/>
    <w:rsid w:val="004B2178"/>
    <w:rsid w:val="004B2827"/>
    <w:rsid w:val="004B2A74"/>
    <w:rsid w:val="004B2C4A"/>
    <w:rsid w:val="004B31F3"/>
    <w:rsid w:val="004B337B"/>
    <w:rsid w:val="004B354F"/>
    <w:rsid w:val="004B3557"/>
    <w:rsid w:val="004B37A7"/>
    <w:rsid w:val="004B3B5B"/>
    <w:rsid w:val="004B416F"/>
    <w:rsid w:val="004B43A2"/>
    <w:rsid w:val="004B43CF"/>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B2D"/>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4A0"/>
    <w:rsid w:val="0050759F"/>
    <w:rsid w:val="00507C79"/>
    <w:rsid w:val="00507CA9"/>
    <w:rsid w:val="00507E1E"/>
    <w:rsid w:val="005102C3"/>
    <w:rsid w:val="0051033C"/>
    <w:rsid w:val="005107DF"/>
    <w:rsid w:val="00510901"/>
    <w:rsid w:val="00510E42"/>
    <w:rsid w:val="00511095"/>
    <w:rsid w:val="0051120D"/>
    <w:rsid w:val="00511F56"/>
    <w:rsid w:val="00512730"/>
    <w:rsid w:val="00512B37"/>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352"/>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2FE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4E6"/>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6C4"/>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5F7A"/>
    <w:rsid w:val="0059621B"/>
    <w:rsid w:val="00596A34"/>
    <w:rsid w:val="00596B77"/>
    <w:rsid w:val="00596C47"/>
    <w:rsid w:val="00596D74"/>
    <w:rsid w:val="005970C8"/>
    <w:rsid w:val="00597774"/>
    <w:rsid w:val="00597C16"/>
    <w:rsid w:val="00597C29"/>
    <w:rsid w:val="00597F5E"/>
    <w:rsid w:val="005A0284"/>
    <w:rsid w:val="005A02D1"/>
    <w:rsid w:val="005A04CB"/>
    <w:rsid w:val="005A0BC0"/>
    <w:rsid w:val="005A13B8"/>
    <w:rsid w:val="005A1B23"/>
    <w:rsid w:val="005A1BE9"/>
    <w:rsid w:val="005A1C76"/>
    <w:rsid w:val="005A1DBA"/>
    <w:rsid w:val="005A1E4A"/>
    <w:rsid w:val="005A2161"/>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79E"/>
    <w:rsid w:val="005B3878"/>
    <w:rsid w:val="005B3973"/>
    <w:rsid w:val="005B397C"/>
    <w:rsid w:val="005B42F2"/>
    <w:rsid w:val="005B4616"/>
    <w:rsid w:val="005B479C"/>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587"/>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2E0"/>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41"/>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3DF6"/>
    <w:rsid w:val="0064446E"/>
    <w:rsid w:val="006444D9"/>
    <w:rsid w:val="0064469B"/>
    <w:rsid w:val="00644782"/>
    <w:rsid w:val="006448BD"/>
    <w:rsid w:val="00644A4F"/>
    <w:rsid w:val="006451FC"/>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A31"/>
    <w:rsid w:val="00657B56"/>
    <w:rsid w:val="00657B93"/>
    <w:rsid w:val="00657CC7"/>
    <w:rsid w:val="006604FE"/>
    <w:rsid w:val="006608FE"/>
    <w:rsid w:val="00660CDC"/>
    <w:rsid w:val="00661340"/>
    <w:rsid w:val="0066162D"/>
    <w:rsid w:val="00661659"/>
    <w:rsid w:val="00661802"/>
    <w:rsid w:val="00661948"/>
    <w:rsid w:val="00661E7C"/>
    <w:rsid w:val="00662028"/>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12F"/>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9D8"/>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459"/>
    <w:rsid w:val="006C55E1"/>
    <w:rsid w:val="006C56F4"/>
    <w:rsid w:val="006C5781"/>
    <w:rsid w:val="006C5790"/>
    <w:rsid w:val="006C5BD8"/>
    <w:rsid w:val="006C5C88"/>
    <w:rsid w:val="006C5D8C"/>
    <w:rsid w:val="006C61F1"/>
    <w:rsid w:val="006C63BA"/>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26D"/>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18A"/>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95F"/>
    <w:rsid w:val="00720C14"/>
    <w:rsid w:val="00720E2C"/>
    <w:rsid w:val="0072118C"/>
    <w:rsid w:val="00721485"/>
    <w:rsid w:val="00721A78"/>
    <w:rsid w:val="00721CE7"/>
    <w:rsid w:val="00721DCF"/>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91A"/>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5E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5F95"/>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03"/>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3469"/>
    <w:rsid w:val="007F37C7"/>
    <w:rsid w:val="007F47A1"/>
    <w:rsid w:val="007F4D3A"/>
    <w:rsid w:val="007F5102"/>
    <w:rsid w:val="007F540C"/>
    <w:rsid w:val="007F5491"/>
    <w:rsid w:val="007F566E"/>
    <w:rsid w:val="007F59DF"/>
    <w:rsid w:val="007F5DF1"/>
    <w:rsid w:val="007F60B6"/>
    <w:rsid w:val="007F67B7"/>
    <w:rsid w:val="007F6892"/>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23"/>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FD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104"/>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91E"/>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2F"/>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B66"/>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9D3"/>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5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D9C"/>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137"/>
    <w:rsid w:val="009232F0"/>
    <w:rsid w:val="00923B68"/>
    <w:rsid w:val="00923D06"/>
    <w:rsid w:val="00924595"/>
    <w:rsid w:val="00924598"/>
    <w:rsid w:val="00924918"/>
    <w:rsid w:val="00924924"/>
    <w:rsid w:val="00924A57"/>
    <w:rsid w:val="00924B19"/>
    <w:rsid w:val="00924FEF"/>
    <w:rsid w:val="00925206"/>
    <w:rsid w:val="00925250"/>
    <w:rsid w:val="0092548F"/>
    <w:rsid w:val="009254BA"/>
    <w:rsid w:val="009256AE"/>
    <w:rsid w:val="009257FC"/>
    <w:rsid w:val="00925D87"/>
    <w:rsid w:val="00925EC3"/>
    <w:rsid w:val="009264C9"/>
    <w:rsid w:val="0092680D"/>
    <w:rsid w:val="00926C89"/>
    <w:rsid w:val="0092708E"/>
    <w:rsid w:val="00927D30"/>
    <w:rsid w:val="00927F42"/>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20"/>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00"/>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2E4D"/>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0B15"/>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5C5F"/>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4ED"/>
    <w:rsid w:val="009D4898"/>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241"/>
    <w:rsid w:val="009F53C4"/>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0D1"/>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0DB2"/>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519"/>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84A"/>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40"/>
    <w:rsid w:val="00A609EA"/>
    <w:rsid w:val="00A60F87"/>
    <w:rsid w:val="00A61258"/>
    <w:rsid w:val="00A6125A"/>
    <w:rsid w:val="00A612EC"/>
    <w:rsid w:val="00A6135D"/>
    <w:rsid w:val="00A61B2F"/>
    <w:rsid w:val="00A61B3B"/>
    <w:rsid w:val="00A61FFB"/>
    <w:rsid w:val="00A62473"/>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73"/>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3C9"/>
    <w:rsid w:val="00A777A1"/>
    <w:rsid w:val="00A77A7C"/>
    <w:rsid w:val="00A77CF8"/>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64"/>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5F4B"/>
    <w:rsid w:val="00A9607A"/>
    <w:rsid w:val="00A961EB"/>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800"/>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77"/>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35"/>
    <w:rsid w:val="00AE0714"/>
    <w:rsid w:val="00AE0737"/>
    <w:rsid w:val="00AE0E11"/>
    <w:rsid w:val="00AE15C8"/>
    <w:rsid w:val="00AE1814"/>
    <w:rsid w:val="00AE1891"/>
    <w:rsid w:val="00AE19A5"/>
    <w:rsid w:val="00AE23BA"/>
    <w:rsid w:val="00AE2637"/>
    <w:rsid w:val="00AE32CD"/>
    <w:rsid w:val="00AE3949"/>
    <w:rsid w:val="00AE3CA7"/>
    <w:rsid w:val="00AE3E20"/>
    <w:rsid w:val="00AE439C"/>
    <w:rsid w:val="00AE4645"/>
    <w:rsid w:val="00AE46D5"/>
    <w:rsid w:val="00AE4C6D"/>
    <w:rsid w:val="00AE501E"/>
    <w:rsid w:val="00AE522C"/>
    <w:rsid w:val="00AE593C"/>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BEF"/>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6E33"/>
    <w:rsid w:val="00B3789E"/>
    <w:rsid w:val="00B37C21"/>
    <w:rsid w:val="00B37C82"/>
    <w:rsid w:val="00B37DFE"/>
    <w:rsid w:val="00B37E24"/>
    <w:rsid w:val="00B404BF"/>
    <w:rsid w:val="00B4060E"/>
    <w:rsid w:val="00B407AD"/>
    <w:rsid w:val="00B40BDA"/>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C74"/>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E1"/>
    <w:rsid w:val="00B81EF2"/>
    <w:rsid w:val="00B8229A"/>
    <w:rsid w:val="00B822A2"/>
    <w:rsid w:val="00B82409"/>
    <w:rsid w:val="00B82475"/>
    <w:rsid w:val="00B8262F"/>
    <w:rsid w:val="00B82C87"/>
    <w:rsid w:val="00B82E70"/>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1FA"/>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E8F"/>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BEE"/>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3"/>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44"/>
    <w:rsid w:val="00C41C7A"/>
    <w:rsid w:val="00C41D87"/>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6F4"/>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647E"/>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863"/>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B0D"/>
    <w:rsid w:val="00CB7E82"/>
    <w:rsid w:val="00CC065C"/>
    <w:rsid w:val="00CC16D9"/>
    <w:rsid w:val="00CC1826"/>
    <w:rsid w:val="00CC1A5A"/>
    <w:rsid w:val="00CC1C3B"/>
    <w:rsid w:val="00CC1DE7"/>
    <w:rsid w:val="00CC1F25"/>
    <w:rsid w:val="00CC278C"/>
    <w:rsid w:val="00CC286A"/>
    <w:rsid w:val="00CC2CFB"/>
    <w:rsid w:val="00CC2FBD"/>
    <w:rsid w:val="00CC43AC"/>
    <w:rsid w:val="00CC4738"/>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55"/>
    <w:rsid w:val="00D100B2"/>
    <w:rsid w:val="00D10107"/>
    <w:rsid w:val="00D10306"/>
    <w:rsid w:val="00D10437"/>
    <w:rsid w:val="00D1090E"/>
    <w:rsid w:val="00D11615"/>
    <w:rsid w:val="00D11E5E"/>
    <w:rsid w:val="00D12938"/>
    <w:rsid w:val="00D1309D"/>
    <w:rsid w:val="00D1342C"/>
    <w:rsid w:val="00D1353A"/>
    <w:rsid w:val="00D13F13"/>
    <w:rsid w:val="00D14131"/>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64"/>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672"/>
    <w:rsid w:val="00D25AF8"/>
    <w:rsid w:val="00D25E95"/>
    <w:rsid w:val="00D25EA9"/>
    <w:rsid w:val="00D26019"/>
    <w:rsid w:val="00D260B5"/>
    <w:rsid w:val="00D261AC"/>
    <w:rsid w:val="00D261F0"/>
    <w:rsid w:val="00D26825"/>
    <w:rsid w:val="00D2693B"/>
    <w:rsid w:val="00D26BE0"/>
    <w:rsid w:val="00D27067"/>
    <w:rsid w:val="00D27AA0"/>
    <w:rsid w:val="00D27EBD"/>
    <w:rsid w:val="00D27F78"/>
    <w:rsid w:val="00D31BC4"/>
    <w:rsid w:val="00D31F09"/>
    <w:rsid w:val="00D31FCA"/>
    <w:rsid w:val="00D330A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70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73E"/>
    <w:rsid w:val="00D7386D"/>
    <w:rsid w:val="00D73E9A"/>
    <w:rsid w:val="00D740FD"/>
    <w:rsid w:val="00D741EF"/>
    <w:rsid w:val="00D74276"/>
    <w:rsid w:val="00D744BF"/>
    <w:rsid w:val="00D747BF"/>
    <w:rsid w:val="00D74BCD"/>
    <w:rsid w:val="00D7530F"/>
    <w:rsid w:val="00D754F6"/>
    <w:rsid w:val="00D75520"/>
    <w:rsid w:val="00D75AED"/>
    <w:rsid w:val="00D7687F"/>
    <w:rsid w:val="00D76CB2"/>
    <w:rsid w:val="00D76D6D"/>
    <w:rsid w:val="00D76DB0"/>
    <w:rsid w:val="00D773BC"/>
    <w:rsid w:val="00D773C2"/>
    <w:rsid w:val="00D773FF"/>
    <w:rsid w:val="00D8012C"/>
    <w:rsid w:val="00D802D3"/>
    <w:rsid w:val="00D804E7"/>
    <w:rsid w:val="00D80E5E"/>
    <w:rsid w:val="00D81153"/>
    <w:rsid w:val="00D81251"/>
    <w:rsid w:val="00D81495"/>
    <w:rsid w:val="00D81E32"/>
    <w:rsid w:val="00D82321"/>
    <w:rsid w:val="00D82328"/>
    <w:rsid w:val="00D82574"/>
    <w:rsid w:val="00D8295A"/>
    <w:rsid w:val="00D82A9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4AB"/>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68B"/>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253"/>
    <w:rsid w:val="00DE631C"/>
    <w:rsid w:val="00DE6507"/>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021"/>
    <w:rsid w:val="00E0120F"/>
    <w:rsid w:val="00E0131E"/>
    <w:rsid w:val="00E01380"/>
    <w:rsid w:val="00E01B20"/>
    <w:rsid w:val="00E01BFD"/>
    <w:rsid w:val="00E02087"/>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6BE4"/>
    <w:rsid w:val="00E070B2"/>
    <w:rsid w:val="00E07477"/>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0E3"/>
    <w:rsid w:val="00E26225"/>
    <w:rsid w:val="00E26480"/>
    <w:rsid w:val="00E264AC"/>
    <w:rsid w:val="00E2660E"/>
    <w:rsid w:val="00E26885"/>
    <w:rsid w:val="00E26976"/>
    <w:rsid w:val="00E26B25"/>
    <w:rsid w:val="00E26E04"/>
    <w:rsid w:val="00E26F6F"/>
    <w:rsid w:val="00E270D0"/>
    <w:rsid w:val="00E271E1"/>
    <w:rsid w:val="00E27359"/>
    <w:rsid w:val="00E27651"/>
    <w:rsid w:val="00E27C4A"/>
    <w:rsid w:val="00E27C7E"/>
    <w:rsid w:val="00E27F05"/>
    <w:rsid w:val="00E3023E"/>
    <w:rsid w:val="00E3030A"/>
    <w:rsid w:val="00E306FC"/>
    <w:rsid w:val="00E308B6"/>
    <w:rsid w:val="00E30BA2"/>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0FC"/>
    <w:rsid w:val="00E4078D"/>
    <w:rsid w:val="00E40857"/>
    <w:rsid w:val="00E40DED"/>
    <w:rsid w:val="00E41019"/>
    <w:rsid w:val="00E41078"/>
    <w:rsid w:val="00E410B7"/>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C78"/>
    <w:rsid w:val="00E46D9C"/>
    <w:rsid w:val="00E47094"/>
    <w:rsid w:val="00E470E2"/>
    <w:rsid w:val="00E47323"/>
    <w:rsid w:val="00E474BC"/>
    <w:rsid w:val="00E47DC1"/>
    <w:rsid w:val="00E5018F"/>
    <w:rsid w:val="00E502EA"/>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310"/>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16"/>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470"/>
    <w:rsid w:val="00EA358F"/>
    <w:rsid w:val="00EA35C3"/>
    <w:rsid w:val="00EA3FDB"/>
    <w:rsid w:val="00EA4250"/>
    <w:rsid w:val="00EA42CB"/>
    <w:rsid w:val="00EA4464"/>
    <w:rsid w:val="00EA44EC"/>
    <w:rsid w:val="00EA4579"/>
    <w:rsid w:val="00EA46FB"/>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50C"/>
    <w:rsid w:val="00ED0A25"/>
    <w:rsid w:val="00ED0ED0"/>
    <w:rsid w:val="00ED13B5"/>
    <w:rsid w:val="00ED1556"/>
    <w:rsid w:val="00ED239D"/>
    <w:rsid w:val="00ED24BF"/>
    <w:rsid w:val="00ED2532"/>
    <w:rsid w:val="00ED298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699"/>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58AC"/>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0831"/>
    <w:rsid w:val="00F511FA"/>
    <w:rsid w:val="00F515BF"/>
    <w:rsid w:val="00F5163C"/>
    <w:rsid w:val="00F51786"/>
    <w:rsid w:val="00F51D21"/>
    <w:rsid w:val="00F526C2"/>
    <w:rsid w:val="00F52700"/>
    <w:rsid w:val="00F52845"/>
    <w:rsid w:val="00F52B34"/>
    <w:rsid w:val="00F52F8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4E6"/>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14D"/>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DD2"/>
    <w:rsid w:val="00FD7E5E"/>
    <w:rsid w:val="00FE018D"/>
    <w:rsid w:val="00FE02C0"/>
    <w:rsid w:val="00FE0642"/>
    <w:rsid w:val="00FE06ED"/>
    <w:rsid w:val="00FE08BE"/>
    <w:rsid w:val="00FE12F3"/>
    <w:rsid w:val="00FE19C7"/>
    <w:rsid w:val="00FE1CD0"/>
    <w:rsid w:val="00FE1CE7"/>
    <w:rsid w:val="00FE1DDC"/>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10"/>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10"/>
      </w:numPr>
      <w:outlineLvl w:val="4"/>
    </w:pPr>
    <w:rPr>
      <w:b/>
      <w:bCs/>
      <w:sz w:val="24"/>
    </w:rPr>
  </w:style>
  <w:style w:type="paragraph" w:styleId="Heading6">
    <w:name w:val="heading 6"/>
    <w:basedOn w:val="Normal"/>
    <w:next w:val="Normal"/>
    <w:qFormat/>
    <w:rsid w:val="00622530"/>
    <w:pPr>
      <w:widowControl/>
      <w:numPr>
        <w:ilvl w:val="5"/>
        <w:numId w:val="10"/>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0"/>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0"/>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0"/>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pPr>
  </w:style>
  <w:style w:type="character" w:customStyle="1" w:styleId="TAHCar">
    <w:name w:val="TAH Car"/>
    <w:link w:val="TAH"/>
    <w:qFormat/>
    <w:rsid w:val="00DE7C2A"/>
    <w:rPr>
      <w:rFonts w:ascii="Arial" w:eastAsia="MS Mincho" w:hAnsi="Arial"/>
      <w:b/>
      <w:sz w:val="18"/>
      <w:lang w:val="en-GB"/>
    </w:rPr>
  </w:style>
  <w:style w:type="paragraph" w:customStyle="1" w:styleId="B1">
    <w:name w:val="B1"/>
    <w:basedOn w:val="Normal"/>
    <w:link w:val="B1Char"/>
    <w:qFormat/>
    <w:rsid w:val="002C7040"/>
    <w:pPr>
      <w:widowControl/>
      <w:kinsoku/>
      <w:overflowPunct/>
      <w:autoSpaceDE/>
      <w:autoSpaceDN/>
      <w:spacing w:after="180"/>
      <w:ind w:left="568" w:hanging="284"/>
      <w:jc w:val="left"/>
    </w:pPr>
    <w:rPr>
      <w:rFonts w:eastAsia="Malgun Gothic"/>
      <w:kern w:val="0"/>
      <w:szCs w:val="20"/>
    </w:rPr>
  </w:style>
  <w:style w:type="paragraph" w:customStyle="1" w:styleId="B3">
    <w:name w:val="B3"/>
    <w:basedOn w:val="Normal"/>
    <w:link w:val="B3Char"/>
    <w:rsid w:val="002C7040"/>
    <w:pPr>
      <w:widowControl/>
      <w:kinsoku/>
      <w:overflowPunct/>
      <w:autoSpaceDE/>
      <w:autoSpaceDN/>
      <w:spacing w:after="180"/>
      <w:ind w:left="1135" w:hanging="284"/>
      <w:jc w:val="left"/>
    </w:pPr>
    <w:rPr>
      <w:rFonts w:eastAsia="Malgun Gothic"/>
      <w:kern w:val="0"/>
      <w:szCs w:val="20"/>
    </w:rPr>
  </w:style>
  <w:style w:type="character" w:customStyle="1" w:styleId="B1Char">
    <w:name w:val="B1 Char"/>
    <w:link w:val="B1"/>
    <w:rsid w:val="002C7040"/>
    <w:rPr>
      <w:rFonts w:eastAsia="Malgun Gothic"/>
      <w:lang w:val="en-GB"/>
    </w:rPr>
  </w:style>
  <w:style w:type="character" w:customStyle="1" w:styleId="B2Char">
    <w:name w:val="B2 Char"/>
    <w:link w:val="B2"/>
    <w:rsid w:val="002C7040"/>
    <w:rPr>
      <w:rFonts w:eastAsia="Times New Roman"/>
      <w:lang w:val="en-GB" w:eastAsia="en-GB"/>
    </w:rPr>
  </w:style>
  <w:style w:type="character" w:customStyle="1" w:styleId="B3Char">
    <w:name w:val="B3 Char"/>
    <w:link w:val="B3"/>
    <w:rsid w:val="002C7040"/>
    <w:rPr>
      <w:rFonts w:eastAsia="Malgun Gothic"/>
      <w:lang w:val="en-GB"/>
    </w:rPr>
  </w:style>
  <w:style w:type="paragraph" w:customStyle="1" w:styleId="B4">
    <w:name w:val="B4"/>
    <w:basedOn w:val="Normal"/>
    <w:link w:val="B4Char"/>
    <w:rsid w:val="00643DF6"/>
    <w:pPr>
      <w:widowControl/>
      <w:kinsoku/>
      <w:overflowPunct/>
      <w:autoSpaceDE/>
      <w:autoSpaceDN/>
      <w:spacing w:after="180"/>
      <w:ind w:left="1418" w:hanging="284"/>
      <w:jc w:val="left"/>
    </w:pPr>
    <w:rPr>
      <w:rFonts w:eastAsia="Malgun Gothic"/>
      <w:kern w:val="0"/>
      <w:szCs w:val="20"/>
    </w:rPr>
  </w:style>
  <w:style w:type="character" w:customStyle="1" w:styleId="B4Char">
    <w:name w:val="B4 Char"/>
    <w:link w:val="B4"/>
    <w:rsid w:val="00643DF6"/>
    <w:rPr>
      <w:rFonts w:eastAsia="Malgun Gothic"/>
      <w:lang w:val="en-GB"/>
    </w:rPr>
  </w:style>
  <w:style w:type="paragraph" w:customStyle="1" w:styleId="Agreement">
    <w:name w:val="Agreement"/>
    <w:basedOn w:val="Normal"/>
    <w:next w:val="Normal"/>
    <w:qFormat/>
    <w:rsid w:val="000C1549"/>
    <w:pPr>
      <w:widowControl/>
      <w:numPr>
        <w:numId w:val="37"/>
      </w:numPr>
      <w:kinsoku/>
      <w:adjustRightInd w:val="0"/>
      <w:spacing w:before="60" w:after="180"/>
      <w:jc w:val="left"/>
      <w:textAlignment w:val="baseline"/>
    </w:pPr>
    <w:rPr>
      <w:rFonts w:ascii="Arial" w:eastAsia="Times New Roman" w:hAnsi="Arial"/>
      <w:b/>
      <w:kern w:val="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4502">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3EQ6UJ4K66FU-4-34506</_dlc_DocId>
    <_dlc_DocIdUrl xmlns="df4eea7b-52db-4162-980b-b352f1b580a3">
      <Url>https://projects.qualcomm.com/sites/meridian/_layouts/15/DocIdRedir.aspx?ID=3EQ6UJ4K66FU-4-34506</Url>
      <Description>3EQ6UJ4K66FU-4-34506</Description>
    </_dlc_DocIdUrl>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infopath/2007/PartnerControls"/>
    <ds:schemaRef ds:uri="http://schemas.microsoft.com/office/2006/documentManagement/types"/>
    <ds:schemaRef ds:uri="df4eea7b-52db-4162-980b-b352f1b580a3"/>
    <ds:schemaRef ds:uri="http://schemas.microsoft.com/office/2006/metadata/properties"/>
    <ds:schemaRef ds:uri="http://purl.org/dc/elements/1.1/"/>
    <ds:schemaRef ds:uri="http://schemas.microsoft.com/sharepoint/v4"/>
    <ds:schemaRef ds:uri="http://schemas.openxmlformats.org/package/2006/metadata/core-properties"/>
    <ds:schemaRef ds:uri="http://purl.org/dc/terms/"/>
    <ds:schemaRef ds:uri="http://purl.org/dc/dcmitype/"/>
    <ds:schemaRef ds:uri="http://www.w3.org/XML/1998/namespace"/>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C5DDE136-5607-4D57-814C-BC0B7BB9B9C5}">
  <ds:schemaRefs>
    <ds:schemaRef ds:uri="http://schemas.openxmlformats.org/officeDocument/2006/bibliography"/>
  </ds:schemaRefs>
</ds:datastoreItem>
</file>

<file path=customXml/itemProps5.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C70507-E2B3-4547-B20B-049C67DA5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2307</Words>
  <Characters>13073</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2</cp:revision>
  <cp:lastPrinted>2010-08-13T21:54:00Z</cp:lastPrinted>
  <dcterms:created xsi:type="dcterms:W3CDTF">2019-05-02T02:50:00Z</dcterms:created>
  <dcterms:modified xsi:type="dcterms:W3CDTF">2019-05-02T02:50:00Z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a82d5b47-ad7a-4057-9a38-ba97581da1c4</vt:lpwstr>
  </property>
</Properties>
</file>